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29C9" w14:textId="77777777" w:rsidR="00CC6F4F" w:rsidRDefault="00A35062">
      <w:pPr>
        <w:jc w:val="center"/>
        <w:rPr>
          <w:b/>
          <w:sz w:val="28"/>
          <w:szCs w:val="28"/>
        </w:rPr>
      </w:pPr>
      <w:r>
        <w:rPr>
          <w:b/>
          <w:sz w:val="28"/>
          <w:szCs w:val="28"/>
        </w:rPr>
        <w:t>NOTĂ DE FUNDAMENTARE</w:t>
      </w:r>
    </w:p>
    <w:p w14:paraId="598F29CA" w14:textId="77777777" w:rsidR="00CC6F4F" w:rsidRDefault="00CC6F4F"/>
    <w:p w14:paraId="598F29CB" w14:textId="77777777" w:rsidR="00CC6F4F" w:rsidRDefault="00CC6F4F"/>
    <w:p w14:paraId="598F29CC" w14:textId="77777777" w:rsidR="00CC6F4F" w:rsidRDefault="00A35062">
      <w:pPr>
        <w:pBdr>
          <w:top w:val="nil"/>
          <w:left w:val="nil"/>
          <w:bottom w:val="nil"/>
          <w:right w:val="nil"/>
          <w:between w:val="nil"/>
        </w:pBdr>
        <w:spacing w:line="276" w:lineRule="auto"/>
        <w:jc w:val="center"/>
        <w:rPr>
          <w:b/>
          <w:color w:val="000000"/>
        </w:rPr>
      </w:pPr>
      <w:r>
        <w:rPr>
          <w:b/>
          <w:color w:val="000000"/>
        </w:rPr>
        <w:t>Secţiunea 1.</w:t>
      </w:r>
    </w:p>
    <w:p w14:paraId="598F29CD" w14:textId="77777777" w:rsidR="00CC6F4F" w:rsidRDefault="00A35062">
      <w:pPr>
        <w:pBdr>
          <w:top w:val="nil"/>
          <w:left w:val="nil"/>
          <w:bottom w:val="nil"/>
          <w:right w:val="nil"/>
          <w:between w:val="nil"/>
        </w:pBdr>
        <w:spacing w:line="276" w:lineRule="auto"/>
        <w:jc w:val="center"/>
        <w:rPr>
          <w:b/>
          <w:color w:val="000000"/>
        </w:rPr>
      </w:pPr>
      <w:r>
        <w:rPr>
          <w:b/>
          <w:color w:val="000000"/>
        </w:rPr>
        <w:t>Titlul proiectului de act normativ</w:t>
      </w:r>
    </w:p>
    <w:p w14:paraId="598F29CE" w14:textId="77777777" w:rsidR="00CC6F4F" w:rsidRDefault="00CC6F4F">
      <w:pPr>
        <w:pBdr>
          <w:top w:val="nil"/>
          <w:left w:val="nil"/>
          <w:bottom w:val="nil"/>
          <w:right w:val="nil"/>
          <w:between w:val="nil"/>
        </w:pBdr>
        <w:spacing w:line="276" w:lineRule="auto"/>
        <w:jc w:val="center"/>
        <w:rPr>
          <w:b/>
          <w:color w:val="000000"/>
        </w:rPr>
      </w:pPr>
    </w:p>
    <w:p w14:paraId="598F29CF" w14:textId="77777777" w:rsidR="00CC6F4F" w:rsidRDefault="00CC6F4F">
      <w:pPr>
        <w:pBdr>
          <w:top w:val="nil"/>
          <w:left w:val="nil"/>
          <w:bottom w:val="nil"/>
          <w:right w:val="nil"/>
          <w:between w:val="nil"/>
        </w:pBdr>
        <w:jc w:val="both"/>
        <w:rPr>
          <w:b/>
          <w:color w:val="000000"/>
        </w:rPr>
      </w:pPr>
    </w:p>
    <w:tbl>
      <w:tblPr>
        <w:tblStyle w:val="a"/>
        <w:tblW w:w="102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4"/>
      </w:tblGrid>
      <w:tr w:rsidR="00CC6F4F" w14:paraId="598F29D1" w14:textId="77777777">
        <w:trPr>
          <w:trHeight w:val="1006"/>
        </w:trPr>
        <w:tc>
          <w:tcPr>
            <w:tcW w:w="10264" w:type="dxa"/>
          </w:tcPr>
          <w:p w14:paraId="598F29D0" w14:textId="77777777" w:rsidR="00CC6F4F" w:rsidRDefault="00A35062">
            <w:pPr>
              <w:tabs>
                <w:tab w:val="left" w:pos="4536"/>
              </w:tabs>
              <w:spacing w:before="40" w:after="40"/>
              <w:jc w:val="center"/>
              <w:rPr>
                <w:b/>
              </w:rPr>
            </w:pPr>
            <w:r>
              <w:rPr>
                <w:b/>
              </w:rPr>
              <w:t>Hotărâre privind înființarea Carpatica Feroviar SA</w:t>
            </w:r>
          </w:p>
        </w:tc>
      </w:tr>
    </w:tbl>
    <w:p w14:paraId="598F29D2" w14:textId="77777777" w:rsidR="00CC6F4F" w:rsidRDefault="00CC6F4F">
      <w:pPr>
        <w:rPr>
          <w:b/>
        </w:rPr>
      </w:pPr>
    </w:p>
    <w:p w14:paraId="598F29D3" w14:textId="77777777" w:rsidR="00CC6F4F" w:rsidRDefault="00A35062">
      <w:pPr>
        <w:jc w:val="center"/>
        <w:rPr>
          <w:b/>
        </w:rPr>
      </w:pPr>
      <w:r>
        <w:rPr>
          <w:b/>
        </w:rPr>
        <w:t>Secţiunea a 2 – a</w:t>
      </w:r>
    </w:p>
    <w:p w14:paraId="598F29D4" w14:textId="77777777" w:rsidR="00CC6F4F" w:rsidRDefault="00A35062">
      <w:pPr>
        <w:jc w:val="center"/>
        <w:rPr>
          <w:b/>
        </w:rPr>
      </w:pPr>
      <w:r>
        <w:rPr>
          <w:b/>
        </w:rPr>
        <w:t>Motivele emiterii actului normativ</w:t>
      </w:r>
    </w:p>
    <w:p w14:paraId="598F29D5" w14:textId="77777777" w:rsidR="00CC6F4F" w:rsidRDefault="00CC6F4F">
      <w:pPr>
        <w:jc w:val="center"/>
        <w:rPr>
          <w:b/>
        </w:rPr>
      </w:pPr>
    </w:p>
    <w:p w14:paraId="598F29D6" w14:textId="77777777" w:rsidR="00CC6F4F" w:rsidRDefault="00CC6F4F">
      <w:pPr>
        <w:rPr>
          <w:b/>
        </w:rPr>
      </w:pPr>
    </w:p>
    <w:tbl>
      <w:tblPr>
        <w:tblStyle w:val="a0"/>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7371"/>
      </w:tblGrid>
      <w:tr w:rsidR="00CC6F4F" w14:paraId="598F29DA" w14:textId="77777777">
        <w:trPr>
          <w:trHeight w:val="664"/>
        </w:trPr>
        <w:tc>
          <w:tcPr>
            <w:tcW w:w="3006" w:type="dxa"/>
          </w:tcPr>
          <w:p w14:paraId="598F29D7" w14:textId="77777777" w:rsidR="00CC6F4F" w:rsidRDefault="00A35062">
            <w:pPr>
              <w:jc w:val="both"/>
            </w:pPr>
            <w:r>
              <w:t>2.1. Sursa proiectului de act normativ</w:t>
            </w:r>
          </w:p>
        </w:tc>
        <w:tc>
          <w:tcPr>
            <w:tcW w:w="7371" w:type="dxa"/>
          </w:tcPr>
          <w:p w14:paraId="598F29D8" w14:textId="77777777" w:rsidR="00CC6F4F" w:rsidRDefault="00A35062">
            <w:pPr>
              <w:tabs>
                <w:tab w:val="left" w:pos="4536"/>
              </w:tabs>
              <w:spacing w:before="40" w:after="40"/>
              <w:jc w:val="both"/>
              <w:rPr>
                <w:color w:val="FF0000"/>
              </w:rPr>
            </w:pPr>
            <w:r>
              <w:t xml:space="preserve"> Ministerul</w:t>
            </w:r>
            <w:r>
              <w:rPr>
                <w:color w:val="FF0000"/>
              </w:rPr>
              <w:t xml:space="preserve"> </w:t>
            </w:r>
            <w:r>
              <w:t>Transporturilor și Infrastructurii</w:t>
            </w:r>
          </w:p>
          <w:p w14:paraId="598F29D9" w14:textId="77777777" w:rsidR="00CC6F4F" w:rsidRDefault="00CC6F4F">
            <w:pPr>
              <w:tabs>
                <w:tab w:val="left" w:pos="4536"/>
              </w:tabs>
              <w:spacing w:before="40" w:after="40"/>
              <w:jc w:val="both"/>
              <w:rPr>
                <w:i/>
                <w:color w:val="FF0000"/>
              </w:rPr>
            </w:pPr>
          </w:p>
        </w:tc>
      </w:tr>
      <w:tr w:rsidR="00CC6F4F" w14:paraId="598F2A03" w14:textId="77777777">
        <w:trPr>
          <w:trHeight w:val="277"/>
        </w:trPr>
        <w:tc>
          <w:tcPr>
            <w:tcW w:w="3006" w:type="dxa"/>
          </w:tcPr>
          <w:p w14:paraId="598F29DB" w14:textId="77777777" w:rsidR="00CC6F4F" w:rsidRDefault="00CC6F4F">
            <w:pPr>
              <w:jc w:val="both"/>
            </w:pPr>
          </w:p>
          <w:p w14:paraId="598F29DC" w14:textId="77777777" w:rsidR="00CC6F4F" w:rsidRDefault="00CC6F4F">
            <w:pPr>
              <w:jc w:val="both"/>
            </w:pPr>
          </w:p>
          <w:p w14:paraId="598F29DD" w14:textId="77777777" w:rsidR="00CC6F4F" w:rsidRDefault="00CC6F4F">
            <w:pPr>
              <w:jc w:val="both"/>
            </w:pPr>
          </w:p>
          <w:p w14:paraId="598F29DE" w14:textId="77777777" w:rsidR="00CC6F4F" w:rsidRDefault="00A35062">
            <w:pPr>
              <w:jc w:val="both"/>
            </w:pPr>
            <w:r>
              <w:t>2.2. Descrierea situaţiei actuale</w:t>
            </w:r>
          </w:p>
        </w:tc>
        <w:tc>
          <w:tcPr>
            <w:tcW w:w="7371" w:type="dxa"/>
          </w:tcPr>
          <w:p w14:paraId="598F29DF" w14:textId="77777777" w:rsidR="00CC6F4F" w:rsidRDefault="00A35062">
            <w:pPr>
              <w:numPr>
                <w:ilvl w:val="0"/>
                <w:numId w:val="5"/>
              </w:numPr>
              <w:pBdr>
                <w:top w:val="nil"/>
                <w:left w:val="nil"/>
                <w:bottom w:val="nil"/>
                <w:right w:val="nil"/>
                <w:between w:val="nil"/>
              </w:pBdr>
              <w:spacing w:before="240" w:after="160" w:line="259" w:lineRule="auto"/>
              <w:ind w:left="455" w:hanging="342"/>
              <w:jc w:val="both"/>
            </w:pPr>
            <w:r>
              <w:rPr>
                <w:b/>
                <w:color w:val="000000"/>
              </w:rPr>
              <w:t>Situația națională a transportului feroviar de marfă</w:t>
            </w:r>
          </w:p>
          <w:p w14:paraId="598F29E0" w14:textId="7C7E20D7" w:rsidR="00CC6F4F" w:rsidRDefault="00A35062">
            <w:pPr>
              <w:spacing w:before="240" w:after="160" w:line="259" w:lineRule="auto"/>
              <w:jc w:val="both"/>
            </w:pPr>
            <w:r>
              <w:t>Evenimentele extraordinare ale anilor 2020 – 202</w:t>
            </w:r>
            <w:r w:rsidR="00B6007C">
              <w:t>3</w:t>
            </w:r>
            <w:r>
              <w:t xml:space="preserve"> au relevat nevoia statului român de a se putea baza pe existența unei societăți de transport feroviar de marfă ce va putea realiza următoarele tipuri de transporturi:</w:t>
            </w:r>
          </w:p>
          <w:p w14:paraId="598F29E1" w14:textId="77777777" w:rsidR="00CC6F4F" w:rsidRDefault="00A35062">
            <w:pPr>
              <w:numPr>
                <w:ilvl w:val="0"/>
                <w:numId w:val="7"/>
              </w:numPr>
              <w:spacing w:before="160" w:line="259" w:lineRule="auto"/>
              <w:jc w:val="both"/>
            </w:pPr>
            <w:r>
              <w:t>transportul de trupe, echipamente, utilaje, armament, în caz de mobilizare a forțelor armate ale României și ale partenerilor strategici;</w:t>
            </w:r>
          </w:p>
          <w:p w14:paraId="598F29E2" w14:textId="77777777" w:rsidR="00CC6F4F" w:rsidRDefault="00A35062">
            <w:pPr>
              <w:numPr>
                <w:ilvl w:val="0"/>
                <w:numId w:val="7"/>
              </w:numPr>
              <w:spacing w:line="259" w:lineRule="auto"/>
              <w:jc w:val="both"/>
            </w:pPr>
            <w:r>
              <w:t>transportul de ajutor umanitar pentru zonele afectate de conflicte armate, pentru asigurarea cooperării internaționale;</w:t>
            </w:r>
          </w:p>
          <w:p w14:paraId="598F29E3" w14:textId="77777777" w:rsidR="00CC6F4F" w:rsidRDefault="00A35062">
            <w:pPr>
              <w:numPr>
                <w:ilvl w:val="0"/>
                <w:numId w:val="7"/>
              </w:numPr>
              <w:spacing w:after="80" w:line="259" w:lineRule="auto"/>
              <w:jc w:val="both"/>
            </w:pPr>
            <w:r>
              <w:t>transportul de cereale, materii prime și combustibil, pentru evitarea unei crize alimentare sau energetice.</w:t>
            </w:r>
          </w:p>
          <w:p w14:paraId="598F29E4" w14:textId="77777777" w:rsidR="00CC6F4F" w:rsidRDefault="00A35062">
            <w:pPr>
              <w:spacing w:before="80" w:after="160" w:line="259" w:lineRule="auto"/>
              <w:jc w:val="both"/>
            </w:pPr>
            <w:r>
              <w:t xml:space="preserve">Totodată, Mobilitatea Militară reprezintă un element nou introdus de către Comisia Europeană pentru perioada de programare 2021 - 2027, acesta fiind inclus și în Regulamentul privind Mecanismul pentru Interconectarea Europei 2021 - 2027 (CEF 2.0). </w:t>
            </w:r>
          </w:p>
          <w:p w14:paraId="598F29E5" w14:textId="77777777" w:rsidR="00CC6F4F" w:rsidRDefault="00A35062">
            <w:pPr>
              <w:spacing w:before="240" w:after="160" w:line="259" w:lineRule="auto"/>
              <w:jc w:val="both"/>
            </w:pPr>
            <w:r>
              <w:t>Statul român și-a asumat creșterea mobilității militare prin aderarea la cooperarea structurată permanentă (PESCO) și în cadrul Summit-ului NATO din luna iunie 2018.</w:t>
            </w:r>
          </w:p>
          <w:p w14:paraId="598F29E6" w14:textId="77777777" w:rsidR="00CC6F4F" w:rsidRDefault="00A35062">
            <w:pPr>
              <w:spacing w:before="240" w:after="160" w:line="259" w:lineRule="auto"/>
              <w:jc w:val="both"/>
            </w:pPr>
            <w:r>
              <w:t>Obiectivul asumat prin PNRR de a face sectorul feroviar competitiv, respectiv măsurile orizontale privind protecția mediului, siguranța și eficiența globală a serviciilor de transport creează premisele pentru dezvoltarea economică locală și regională (obiective corelate cu European Green Deal, politicile climatice ale UE, planul UE privind schimbările climatice, Strategia) Europeană de Mobilitate Durabilă și Inteligentă, Regulamentul TEN-T.</w:t>
            </w:r>
          </w:p>
          <w:p w14:paraId="598F29E7" w14:textId="77777777" w:rsidR="00CC6F4F" w:rsidRDefault="00A35062">
            <w:pPr>
              <w:spacing w:before="240" w:after="160" w:line="259" w:lineRule="auto"/>
              <w:jc w:val="both"/>
            </w:pPr>
            <w:r>
              <w:lastRenderedPageBreak/>
              <w:t>Noul sistem de taxare pentru vehicule gestionat în principal de Ministerul Transporturilor și Infrastructurii va include: transferul a 10 % din traficul rutier (pasageri și mărfuri) către transportul feroviar până în 2026, comparativ cu 2020. Estimări preliminare includ, printre beneficiile secundare ale adoptării măsurii de sprijinire a sectorului de transport feroviar, un transfer de trafic (pasageri + marfă) estimat de 10% către infrastructura feroviară ducând la decongestionare, poluare redusă și siguranță crescută.</w:t>
            </w:r>
          </w:p>
          <w:p w14:paraId="598F29E8" w14:textId="77777777" w:rsidR="00CC6F4F" w:rsidRDefault="00A35062">
            <w:pPr>
              <w:spacing w:before="240" w:after="160" w:line="259" w:lineRule="auto"/>
              <w:jc w:val="both"/>
            </w:pPr>
            <w:r>
              <w:t>Planul de acțiune pentru dezvoltarea infrastructurii feroviare 2021-2025 are ca obiectiv creșterea traficului feroviar de marfă cu minimum 25% în 2026 față de 2020, creșterea utilizării materialului rulant nou achiziționat, precum și creșterea gradului de utilizare a materialului rulant nou achiziționat sau modernizat (cu până la 35%) pentru un randament maxim în ceea ce privește investițiile realizate pentru modernizare infrastructurii feroviare și pentru valorificarea materialului rulant.</w:t>
            </w:r>
          </w:p>
          <w:p w14:paraId="598F29E9" w14:textId="77777777" w:rsidR="00CC6F4F" w:rsidRDefault="00A35062">
            <w:pPr>
              <w:spacing w:before="240" w:after="160" w:line="259" w:lineRule="auto"/>
              <w:jc w:val="both"/>
            </w:pPr>
            <w:r>
              <w:t>În Strategia pentru o mobilitate sustenabilă și inteligentă se stabilește că, până în 2030, transportul intermodal feroviar și naval va fi în măsură să concureze pe picior de egalitate cu transportul exclusiv rutier din UE.</w:t>
            </w:r>
          </w:p>
          <w:p w14:paraId="598F29EA" w14:textId="77777777" w:rsidR="00CC6F4F" w:rsidRDefault="00A35062">
            <w:pPr>
              <w:spacing w:before="240" w:after="160" w:line="259" w:lineRule="auto"/>
              <w:jc w:val="both"/>
            </w:pPr>
            <w:r>
              <w:t xml:space="preserve">Pentru a atinge neutralitatea climatică la nivel european până în 2050, este necesară reducerea cu 90% a emisiilor din sectorul transportului, față de nivelul din anul 1990. Decarbonizarea sectorului transporturilor este susținută în principal de utilizarea modurilor sustenabile de transport, precum transportul feroviar, transportul naval (pentru marfă, în principal), transportul public de la nivel urban/zonă funcțională urbană (inclusiv cu metroul și trenul metropolitan), utilizarea bicicletei ca mod de deplasare şi de măsurile de promovare a surselor regenerabile în producerea energiei electrice (sprijinite inclusiv la nivel de PNRR), în linie cu țintele ce vor fi asumate prin Planului Național Integrat în domeniul Energiei și Schimbărilor Climatice (PNIESC). </w:t>
            </w:r>
          </w:p>
          <w:p w14:paraId="598F29EB" w14:textId="405CE055" w:rsidR="00CC6F4F" w:rsidRDefault="00A35062" w:rsidP="0046744E">
            <w:pPr>
              <w:spacing w:before="240" w:after="160" w:line="259" w:lineRule="auto"/>
              <w:jc w:val="both"/>
            </w:pPr>
            <w:r>
              <w:t xml:space="preserve">În conformitate cu prevederile Regulamentului (UE) </w:t>
            </w:r>
            <w:r w:rsidR="0046744E">
              <w:t>2021/241 al Parlamentului European și al Consiliului din 12 februarie 2021de instituire a Mecanismului de redresare și reziliență</w:t>
            </w:r>
            <w:r>
              <w:t>, minimum 20 % din alocarea totală a PNRR trebuie să contribuie la tranziţia digitală.</w:t>
            </w:r>
          </w:p>
          <w:p w14:paraId="598F29EC" w14:textId="77777777" w:rsidR="00CC6F4F" w:rsidRDefault="00A35062">
            <w:pPr>
              <w:spacing w:before="240" w:after="120"/>
              <w:jc w:val="both"/>
            </w:pPr>
            <w:r>
              <w:rPr>
                <w:color w:val="000000"/>
              </w:rPr>
              <w:t>Potrivit Raportului de țară din 2020, sectorul transporturilor din România a fost responsabil de generarea a 24.7 % din emisiile totale de CO2 și a 16.6 % din emisiile totale de GES, în 2017 (Comisia Europeană), cu mult sub media UE. Din aceste procente, transportul rutier a reprezentat peste 90% din totalul emisiilor de CO2 și de GES din sectorul transportului la nivelul întregii țări.</w:t>
            </w:r>
          </w:p>
          <w:p w14:paraId="598F29ED" w14:textId="77777777" w:rsidR="00CC6F4F" w:rsidRDefault="00A35062">
            <w:pPr>
              <w:spacing w:before="240" w:after="160" w:line="259" w:lineRule="auto"/>
              <w:jc w:val="both"/>
            </w:pPr>
            <w:r>
              <w:t>Prin natura sa, transport feroviar este mult mai ușor de digitalizat decât cel rutier, naval sau aerian. Prin urmare, investițiile în automatizarea acestui tip de transporturi sunt mai puțin costisitoare și produc rezultate superioare în eficiența transportului de mărfuri.</w:t>
            </w:r>
          </w:p>
          <w:p w14:paraId="598F29EE" w14:textId="3C3F8B4D" w:rsidR="00CC6F4F" w:rsidRDefault="00A35062">
            <w:pPr>
              <w:spacing w:before="240" w:after="160" w:line="259" w:lineRule="auto"/>
              <w:jc w:val="both"/>
            </w:pPr>
            <w:r>
              <w:lastRenderedPageBreak/>
              <w:t xml:space="preserve">Societatea va avea obligația legală de a asigura transporturile strategice ale statului român, contrabalansându-se riscul de refuz al societăților de transport private de a executa anumite transporturi feroviare sau chiar imposibilitatea acestora de a le prelua, în situații de criză. Însuși termenul de „criză” relevă urgența ce caracterizează necesitatea asigurării unor astfel de servicii de transport, care, în situația imposibilității de a le prelua sau refuzului din partea celorlalte companii private de transport, ar genera întârzieri ce pot afecta </w:t>
            </w:r>
            <w:r w:rsidR="008B0C32">
              <w:t>siguranța</w:t>
            </w:r>
            <w:r>
              <w:t xml:space="preserve"> națională și a partenerilor externi.</w:t>
            </w:r>
          </w:p>
          <w:p w14:paraId="598F29EF" w14:textId="77777777" w:rsidR="00CC6F4F" w:rsidRDefault="00A35062">
            <w:pPr>
              <w:spacing w:before="240" w:after="160" w:line="259" w:lineRule="auto"/>
              <w:jc w:val="both"/>
            </w:pPr>
            <w:r>
              <w:t>Societatea va desfășura activități:</w:t>
            </w:r>
          </w:p>
          <w:p w14:paraId="598F29F0" w14:textId="77777777" w:rsidR="00CC6F4F" w:rsidRDefault="00A35062">
            <w:pPr>
              <w:numPr>
                <w:ilvl w:val="0"/>
                <w:numId w:val="9"/>
              </w:numPr>
              <w:spacing w:before="160" w:line="259" w:lineRule="auto"/>
              <w:ind w:left="426"/>
              <w:jc w:val="both"/>
            </w:pPr>
            <w:r>
              <w:t>de interes strategic - ținând cont de parteneriatele României rezultate din obligațiile sale internaționale și de nevoia de acoperire a transportului de marfă în situații de criză;</w:t>
            </w:r>
          </w:p>
          <w:p w14:paraId="598F29F1" w14:textId="77777777" w:rsidR="00CC6F4F" w:rsidRDefault="00A35062">
            <w:pPr>
              <w:numPr>
                <w:ilvl w:val="0"/>
                <w:numId w:val="9"/>
              </w:numPr>
              <w:spacing w:after="160" w:line="259" w:lineRule="auto"/>
              <w:ind w:left="426"/>
              <w:jc w:val="both"/>
              <w:rPr>
                <w:b/>
              </w:rPr>
            </w:pPr>
            <w:r>
              <w:t>comercial – fiind o societate cu capital de stat, finanțată din surse proprii, ce va realiza transporturile feroviare de marfă, venind în completarea cerințelor pieței de transport feroviar.</w:t>
            </w:r>
          </w:p>
          <w:p w14:paraId="598F29F2" w14:textId="77777777" w:rsidR="00CC6F4F" w:rsidRDefault="00A35062">
            <w:pPr>
              <w:numPr>
                <w:ilvl w:val="0"/>
                <w:numId w:val="5"/>
              </w:numPr>
              <w:pBdr>
                <w:top w:val="nil"/>
                <w:left w:val="nil"/>
                <w:bottom w:val="nil"/>
                <w:right w:val="nil"/>
                <w:between w:val="nil"/>
              </w:pBdr>
              <w:spacing w:before="240" w:after="160" w:line="259" w:lineRule="auto"/>
              <w:ind w:left="455" w:hanging="342"/>
              <w:rPr>
                <w:b/>
                <w:color w:val="000000"/>
              </w:rPr>
            </w:pPr>
            <w:r>
              <w:rPr>
                <w:b/>
                <w:color w:val="000000"/>
              </w:rPr>
              <w:t>Situația particulară a operatorului de transport feroviar de marfă CFR Marfă</w:t>
            </w:r>
          </w:p>
          <w:p w14:paraId="598F29F3" w14:textId="77777777" w:rsidR="00CC6F4F" w:rsidRDefault="00A35062">
            <w:pPr>
              <w:spacing w:before="240" w:after="160" w:line="259" w:lineRule="auto"/>
              <w:jc w:val="both"/>
            </w:pPr>
            <w:r>
              <w:t>Asigurarea transportului de marfă pe cale ferată reprezintă un serviciu de interes strategic, sincopele în funcționarea acestuia generează perturbări grave în funcționarea principalelor ramuri economice de activitate.</w:t>
            </w:r>
          </w:p>
          <w:p w14:paraId="598F29F4" w14:textId="4A1CF05A" w:rsidR="00CC6F4F" w:rsidRDefault="00A35062">
            <w:pPr>
              <w:spacing w:before="240" w:after="160" w:line="259" w:lineRule="auto"/>
              <w:jc w:val="both"/>
            </w:pPr>
            <w:r>
              <w:t>Evenimentele extraordinare ale anilor 2020 – 202</w:t>
            </w:r>
            <w:r w:rsidR="00B6007C">
              <w:t>3</w:t>
            </w:r>
            <w:r>
              <w:t xml:space="preserve"> (pandemia covid-19, criza energetică, alimentară și a transporturilor, precum și </w:t>
            </w:r>
            <w:r w:rsidR="00B6007C">
              <w:t>conflictele din apropierea granițelor</w:t>
            </w:r>
            <w:r>
              <w:t>) au accentuat nevoia investițiilor în sectorul feroviar, respectiv importanța existenței unui operator feroviar de stat, apt să execute necondiționat toate transporturile necesare, conform cerințelor agreate la nivelul României din UE și NATO.</w:t>
            </w:r>
          </w:p>
          <w:p w14:paraId="598F29F5" w14:textId="2DD8E160" w:rsidR="00CC6F4F" w:rsidRDefault="00A35062">
            <w:pPr>
              <w:spacing w:before="240" w:after="160" w:line="259" w:lineRule="auto"/>
              <w:jc w:val="both"/>
            </w:pPr>
            <w:r>
              <w:t>Statul român are obligația de a recupera, cu celeritate, ajutorul de stat declarat ilegal prin Decizia Comisiei Europene C(2020) 1115 final din 24.02.2020 (în continuare, Decizia), acordat Societății Naționale de Transport Feroviar de Marfă “C.F.R. Marfă” SA (denumit în continuare CFR Marfă). Nerecuperarea urgentă a ajutorului de stat (2,6 miliarde lei + dobânzi) poate conduce la costuri accesorii a căror valoare po</w:t>
            </w:r>
            <w:r w:rsidR="00EB57FF">
              <w:t>a</w:t>
            </w:r>
            <w:r>
              <w:t>t</w:t>
            </w:r>
            <w:r w:rsidR="00EB57FF">
              <w:t>e</w:t>
            </w:r>
            <w:r>
              <w:t xml:space="preserve"> mări considerabil suma declarată ca ajutor de stat.</w:t>
            </w:r>
          </w:p>
          <w:p w14:paraId="598F29F6" w14:textId="7A2A00DC" w:rsidR="00CC6F4F" w:rsidRDefault="00A35062">
            <w:pPr>
              <w:spacing w:before="240" w:after="160" w:line="259" w:lineRule="auto"/>
              <w:jc w:val="both"/>
            </w:pPr>
            <w:r>
              <w:t>Ținând cont de situația în care se regăsește CFR Marfă, față de care obiectivul principal al statului român este rambursarea ajutorului de stat ilegal și punerea în aplicare a Deciziei, se creează nevoia înființării unei noi companii viabile de interes strategic, pentru deservirea nevoilor de apărare a</w:t>
            </w:r>
            <w:r w:rsidR="00EB57FF">
              <w:t xml:space="preserve"> </w:t>
            </w:r>
            <w:r>
              <w:t>țării.</w:t>
            </w:r>
          </w:p>
          <w:p w14:paraId="598F29F7" w14:textId="77777777" w:rsidR="00CC6F4F" w:rsidRDefault="00A35062">
            <w:pPr>
              <w:spacing w:before="240" w:after="160" w:line="259" w:lineRule="auto"/>
              <w:jc w:val="both"/>
            </w:pPr>
            <w:r>
              <w:t xml:space="preserve">Orice întârziere în adoptarea măsurilor prezentate poate periclita activitatea de transport feroviar de marfă și poate afecta decisiv industriile direct dependente de resursele deținute, iar, în ceea ce privește punerea în aplicare </w:t>
            </w:r>
            <w:r>
              <w:lastRenderedPageBreak/>
              <w:t>a Deciziei C(2020) 1115 final a Comisiei Europene, crește riscul declanșării procedurii de infringement față de statul român.</w:t>
            </w:r>
          </w:p>
          <w:p w14:paraId="598F29F8" w14:textId="77777777" w:rsidR="00CC6F4F" w:rsidRDefault="00A35062">
            <w:pPr>
              <w:numPr>
                <w:ilvl w:val="0"/>
                <w:numId w:val="5"/>
              </w:numPr>
              <w:pBdr>
                <w:top w:val="nil"/>
                <w:left w:val="nil"/>
                <w:bottom w:val="nil"/>
                <w:right w:val="nil"/>
                <w:between w:val="nil"/>
              </w:pBdr>
              <w:spacing w:before="240" w:after="160" w:line="259" w:lineRule="auto"/>
              <w:ind w:left="455" w:hanging="342"/>
              <w:jc w:val="both"/>
              <w:rPr>
                <w:b/>
                <w:color w:val="000000"/>
              </w:rPr>
            </w:pPr>
            <w:r>
              <w:rPr>
                <w:b/>
                <w:color w:val="000000"/>
              </w:rPr>
              <w:t xml:space="preserve"> Situația geopolitică actuală în sfera transportului feroviar de marfă</w:t>
            </w:r>
          </w:p>
          <w:p w14:paraId="598F29F9" w14:textId="77777777" w:rsidR="00CC6F4F" w:rsidRDefault="00A35062">
            <w:pPr>
              <w:spacing w:before="240" w:after="160" w:line="259" w:lineRule="auto"/>
              <w:jc w:val="both"/>
            </w:pPr>
            <w:r>
              <w:t xml:space="preserve">Criza energetică din Europa a relevat rolul important al statului român, prin operatorul național, în asigurarea transporturilor de produse energetice (precum cărbune, petrol etc.) cu rolul în funcționarea industriilor de profil. </w:t>
            </w:r>
          </w:p>
          <w:p w14:paraId="598F29FA" w14:textId="77777777" w:rsidR="00CC6F4F" w:rsidRDefault="00A35062">
            <w:pPr>
              <w:spacing w:before="240" w:after="160" w:line="259" w:lineRule="auto"/>
              <w:jc w:val="both"/>
            </w:pPr>
            <w:r>
              <w:t xml:space="preserve">Sectorul transportului european feroviar de marfă este suprasolicitat, având în vedere contextul actual geopolitic generat de conflictul militar din regiunea Mării Negre, în care statul român, prin operatorul național de transport feroviar de marfă, joacă un rol determinant în asigurarea transporturilor de marfă pe cale ferată din și către Ucraina. </w:t>
            </w:r>
          </w:p>
          <w:p w14:paraId="598F29FB" w14:textId="77777777" w:rsidR="00CC6F4F" w:rsidRDefault="00A35062">
            <w:pPr>
              <w:spacing w:before="240" w:after="160" w:line="259" w:lineRule="auto"/>
              <w:jc w:val="both"/>
            </w:pPr>
            <w:r>
              <w:t>Sectorul transporturilor reprezintă un element important în dezvoltarea Uniunii Europene, a regiunilor și orașelor acesteia, influențând în mod direct competitivitatea și coeziunea socială a regiunilor și orașelor și contribuind astfel în mod semnificativ la realizarea pieței unice europene. Documentele strategice europene și naționale subliniază rolul și impactul sectorului transporturilor în următoarele domenii:</w:t>
            </w:r>
          </w:p>
          <w:p w14:paraId="598F29FC" w14:textId="77777777" w:rsidR="00CC6F4F" w:rsidRDefault="00A35062">
            <w:pPr>
              <w:numPr>
                <w:ilvl w:val="0"/>
                <w:numId w:val="2"/>
              </w:numPr>
              <w:spacing w:before="160" w:line="259" w:lineRule="auto"/>
              <w:ind w:left="426"/>
              <w:jc w:val="both"/>
            </w:pPr>
            <w:r>
              <w:t>Economic, social și de coeziune teritorială, având un rol esențial și în domeniul ocupării forței de muncă;</w:t>
            </w:r>
          </w:p>
          <w:p w14:paraId="598F29FD" w14:textId="77777777" w:rsidR="00CC6F4F" w:rsidRDefault="00A35062">
            <w:pPr>
              <w:numPr>
                <w:ilvl w:val="0"/>
                <w:numId w:val="2"/>
              </w:numPr>
              <w:spacing w:line="259" w:lineRule="auto"/>
              <w:ind w:left="426"/>
              <w:jc w:val="both"/>
            </w:pPr>
            <w:r>
              <w:t>Influență considerabilă asupra mediului, schimbărilor climatice și asupra calității sănătății și a vieții oamenilor;</w:t>
            </w:r>
          </w:p>
          <w:p w14:paraId="598F29FE" w14:textId="77777777" w:rsidR="00CC6F4F" w:rsidRDefault="00A35062">
            <w:pPr>
              <w:numPr>
                <w:ilvl w:val="0"/>
                <w:numId w:val="2"/>
              </w:numPr>
              <w:spacing w:after="80" w:line="259" w:lineRule="auto"/>
              <w:ind w:left="426"/>
              <w:jc w:val="both"/>
            </w:pPr>
            <w:r>
              <w:t>Impact în ceea ce privește siguranța pe toate modurile de transport.</w:t>
            </w:r>
          </w:p>
          <w:p w14:paraId="598F29FF" w14:textId="77777777" w:rsidR="00CC6F4F" w:rsidRDefault="00A35062">
            <w:pPr>
              <w:spacing w:before="80" w:after="160" w:line="259" w:lineRule="auto"/>
              <w:jc w:val="both"/>
            </w:pPr>
            <w:r>
              <w:t>În conformitate cu prevederile Regulamentului (UE) 2021/241 de instituire a Mecanismului de redresare și reziliență, un cuantum de cel puțin 37% din alocarea totală a PNRR trebuie să reprezinte cheltuieli privind tranziţia verde.</w:t>
            </w:r>
          </w:p>
          <w:p w14:paraId="598F2A00" w14:textId="77777777" w:rsidR="00CC6F4F" w:rsidRDefault="00A35062">
            <w:pPr>
              <w:spacing w:before="240" w:after="120"/>
              <w:jc w:val="both"/>
            </w:pPr>
            <w:r>
              <w:t>Transportul feroviar s-a dovedit a fi indispensabil atunci când blocajele din traficul rutier de la granița României cu Ucraina au pus în pericol transporturile de mărfuri urgente (alimente și ajutoare umanitare) către populația Ucrainei.</w:t>
            </w:r>
          </w:p>
          <w:p w14:paraId="598F2A01" w14:textId="77777777" w:rsidR="00CC6F4F" w:rsidRDefault="00A35062">
            <w:pPr>
              <w:spacing w:before="240" w:after="120"/>
              <w:jc w:val="both"/>
            </w:pPr>
            <w:r>
              <w:t>De asemenea, prin intermediul transportatorului feroviar național de marfă, statul român a răspuns de îndată solicitării Comisiei Europene din cadrul Mecanismului European de Protecție Civilă (ECHO-ERCC) privind ajutorul necesar ca urmare a cutremurului din Republica Turcia.</w:t>
            </w:r>
          </w:p>
          <w:p w14:paraId="598F2A02" w14:textId="77777777" w:rsidR="00CC6F4F" w:rsidRDefault="00A35062">
            <w:pPr>
              <w:spacing w:before="240" w:after="120"/>
              <w:jc w:val="both"/>
            </w:pPr>
            <w:r>
              <w:t>Astfel, situațiile de criză au relevat importanța, precum și obligația de a deține o companie cu obiect de activitate transport feroviar de marfă de către statul român.</w:t>
            </w:r>
          </w:p>
        </w:tc>
      </w:tr>
      <w:tr w:rsidR="00CC6F4F" w14:paraId="598F2A09" w14:textId="77777777">
        <w:trPr>
          <w:trHeight w:val="782"/>
        </w:trPr>
        <w:tc>
          <w:tcPr>
            <w:tcW w:w="3006" w:type="dxa"/>
          </w:tcPr>
          <w:p w14:paraId="598F2A04" w14:textId="77777777" w:rsidR="00CC6F4F" w:rsidRDefault="00A35062">
            <w:pPr>
              <w:jc w:val="both"/>
            </w:pPr>
            <w:r>
              <w:lastRenderedPageBreak/>
              <w:t>2.3.Schimbări preconizate</w:t>
            </w:r>
          </w:p>
        </w:tc>
        <w:tc>
          <w:tcPr>
            <w:tcW w:w="7371" w:type="dxa"/>
          </w:tcPr>
          <w:p w14:paraId="598F2A05" w14:textId="08CA8E15" w:rsidR="00CC6F4F" w:rsidRDefault="00A35062">
            <w:pPr>
              <w:spacing w:before="240" w:after="160" w:line="259" w:lineRule="auto"/>
              <w:jc w:val="both"/>
            </w:pPr>
            <w:r>
              <w:t xml:space="preserve">Înființarea Carpatica Feroviar SA, care va avea obligația legală de a asigura transporturile strategice ale statului român, contrabalansându-se riscul de refuz al societăților de transport private de a executa anumite transporturi </w:t>
            </w:r>
            <w:r>
              <w:lastRenderedPageBreak/>
              <w:t xml:space="preserve">feroviare sau chiar imposibilitatea acestora de a le prelua, în situații de criză. Însuși termenul de „criză” relevă urgența ce caracterizează necesitatea asigurării unor astfel de servicii de transport, care, în situația imposibilității de a le prelua sau refuzului din partea celorlalte companii private de transport, ar genera întârzieri ce pot afecta </w:t>
            </w:r>
            <w:r w:rsidR="008B0C32">
              <w:t>siguranța</w:t>
            </w:r>
            <w:r>
              <w:t xml:space="preserve"> națională și a partenerilor externi.</w:t>
            </w:r>
          </w:p>
          <w:p w14:paraId="598F2A06" w14:textId="77777777" w:rsidR="00CC6F4F" w:rsidRDefault="00A35062">
            <w:pPr>
              <w:spacing w:before="240" w:after="160" w:line="259" w:lineRule="auto"/>
              <w:jc w:val="both"/>
            </w:pPr>
            <w:r>
              <w:t>Societatea va desfășura activități:</w:t>
            </w:r>
          </w:p>
          <w:p w14:paraId="598F2A07" w14:textId="77777777" w:rsidR="00CC6F4F" w:rsidRDefault="00A35062">
            <w:pPr>
              <w:numPr>
                <w:ilvl w:val="0"/>
                <w:numId w:val="9"/>
              </w:numPr>
              <w:spacing w:before="160" w:line="259" w:lineRule="auto"/>
              <w:ind w:left="426"/>
              <w:jc w:val="both"/>
            </w:pPr>
            <w:r>
              <w:t>de interes strategic - ținând cont de parteneriatele României rezultate din obligațiile sale internaționale și de nevoia de acoperire a transportului de marfă în situații de criză;</w:t>
            </w:r>
          </w:p>
          <w:p w14:paraId="598F2A08" w14:textId="77777777" w:rsidR="00CC6F4F" w:rsidRDefault="00A35062">
            <w:pPr>
              <w:numPr>
                <w:ilvl w:val="0"/>
                <w:numId w:val="9"/>
              </w:numPr>
              <w:spacing w:after="160" w:line="259" w:lineRule="auto"/>
              <w:ind w:left="426"/>
              <w:jc w:val="both"/>
            </w:pPr>
            <w:r>
              <w:t>comercial – fiind o societate cu capital de stat, finanțată din surse proprii, ce va realiza transporturile feroviare de marfă, venind în completarea cerințelor pieței de transport feroviar.</w:t>
            </w:r>
          </w:p>
        </w:tc>
      </w:tr>
      <w:tr w:rsidR="00CC6F4F" w14:paraId="598F2A1C" w14:textId="77777777">
        <w:trPr>
          <w:trHeight w:val="699"/>
        </w:trPr>
        <w:tc>
          <w:tcPr>
            <w:tcW w:w="3006" w:type="dxa"/>
          </w:tcPr>
          <w:p w14:paraId="598F2A0A" w14:textId="77777777" w:rsidR="00CC6F4F" w:rsidRDefault="00A35062">
            <w:pPr>
              <w:jc w:val="both"/>
            </w:pPr>
            <w:r>
              <w:lastRenderedPageBreak/>
              <w:t>2.4. Alte informaţii</w:t>
            </w:r>
          </w:p>
        </w:tc>
        <w:tc>
          <w:tcPr>
            <w:tcW w:w="7371" w:type="dxa"/>
          </w:tcPr>
          <w:p w14:paraId="598F2A0B" w14:textId="75205BFD" w:rsidR="00CC6F4F" w:rsidRDefault="00A35062">
            <w:pPr>
              <w:jc w:val="both"/>
            </w:pPr>
            <w:r>
              <w:t>Înființarea societății se realizează după parcurgerea pașilor prevăzuți la art. 15</w:t>
            </w:r>
            <w:r w:rsidR="0076422F">
              <w:t xml:space="preserve"> alin. (3)</w:t>
            </w:r>
            <w:r>
              <w:t xml:space="preserve"> din OUG nr. 20/2014, cu modificările și completările ulterioare, respectiv:</w:t>
            </w:r>
          </w:p>
          <w:p w14:paraId="598F2A0C" w14:textId="77777777" w:rsidR="00CC6F4F" w:rsidRDefault="00A35062">
            <w:pPr>
              <w:numPr>
                <w:ilvl w:val="0"/>
                <w:numId w:val="14"/>
              </w:numPr>
              <w:ind w:left="454"/>
              <w:jc w:val="both"/>
            </w:pPr>
            <w:r>
              <w:t>întocmirea testului investitorului privat prudent în economie,</w:t>
            </w:r>
          </w:p>
          <w:p w14:paraId="598F2A0D" w14:textId="77777777" w:rsidR="00CC6F4F" w:rsidRDefault="00A35062">
            <w:pPr>
              <w:numPr>
                <w:ilvl w:val="0"/>
                <w:numId w:val="14"/>
              </w:numPr>
              <w:ind w:left="454"/>
              <w:jc w:val="both"/>
            </w:pPr>
            <w:r>
              <w:t>determinarea impactului asupra mediului concurențial împreună cu autoritatea de concurență,</w:t>
            </w:r>
          </w:p>
          <w:p w14:paraId="598F2A0E" w14:textId="77777777" w:rsidR="00CC6F4F" w:rsidRDefault="00A35062">
            <w:pPr>
              <w:numPr>
                <w:ilvl w:val="0"/>
                <w:numId w:val="14"/>
              </w:numPr>
              <w:ind w:left="454"/>
              <w:jc w:val="both"/>
            </w:pPr>
            <w:r>
              <w:t>stabilirea impactului social și asupra mediului de afaceri,</w:t>
            </w:r>
          </w:p>
          <w:p w14:paraId="598F2A0F" w14:textId="77777777" w:rsidR="00CC6F4F" w:rsidRDefault="00A35062">
            <w:pPr>
              <w:numPr>
                <w:ilvl w:val="0"/>
                <w:numId w:val="14"/>
              </w:numPr>
              <w:ind w:left="454"/>
              <w:jc w:val="both"/>
            </w:pPr>
            <w:bookmarkStart w:id="0" w:name="_heading=h.gjdgxs" w:colFirst="0" w:colLast="0"/>
            <w:bookmarkEnd w:id="0"/>
            <w:r>
              <w:t>evaluarea costurilor și beneficiilor asupra domeniului economic în care se încadrează activitățile societății nou înființată,</w:t>
            </w:r>
          </w:p>
          <w:p w14:paraId="598F2A10" w14:textId="77777777" w:rsidR="00CC6F4F" w:rsidRDefault="00A35062">
            <w:pPr>
              <w:numPr>
                <w:ilvl w:val="0"/>
                <w:numId w:val="14"/>
              </w:numPr>
              <w:ind w:left="454"/>
              <w:jc w:val="both"/>
            </w:pPr>
            <w:r>
              <w:t>realizarea unei analize economico-financiară, tehnică, juridică şi de oportunitate care include cerințele stabilite la lit. b) – d), fără a se limita la acestea.</w:t>
            </w:r>
          </w:p>
          <w:p w14:paraId="598F2A11" w14:textId="77777777" w:rsidR="00CC6F4F" w:rsidRDefault="00CC6F4F">
            <w:pPr>
              <w:jc w:val="both"/>
            </w:pPr>
          </w:p>
          <w:p w14:paraId="598F2A12" w14:textId="77777777" w:rsidR="00CC6F4F" w:rsidRDefault="00A35062">
            <w:pPr>
              <w:jc w:val="both"/>
            </w:pPr>
            <w:r>
              <w:t>De asemenea, Societatea se înființează cu respectarea criteriilor prevăzute la art. 15 alin. (5) din Ordonanța  de urgență a Guvernului nr. 20/2014, cu modificările și completările ulterioare, respectiv:</w:t>
            </w:r>
          </w:p>
          <w:p w14:paraId="598F2A13" w14:textId="77777777" w:rsidR="00CC6F4F" w:rsidRDefault="00A35062">
            <w:pPr>
              <w:numPr>
                <w:ilvl w:val="0"/>
                <w:numId w:val="15"/>
              </w:numPr>
              <w:ind w:left="454"/>
              <w:jc w:val="both"/>
            </w:pPr>
            <w:r>
              <w:t>respectarea interesului general al statului în domeniul transportului de marfă pe calea ferată;</w:t>
            </w:r>
          </w:p>
          <w:p w14:paraId="598F2A14" w14:textId="77777777" w:rsidR="00CC6F4F" w:rsidRDefault="00A35062">
            <w:pPr>
              <w:numPr>
                <w:ilvl w:val="0"/>
                <w:numId w:val="15"/>
              </w:numPr>
              <w:ind w:left="454"/>
              <w:jc w:val="both"/>
            </w:pPr>
            <w:r>
              <w:t>respectarea principiului eficienței economice în stabilirea obiectului de activitate al Societății, respectiv transportul de marfă pe calea ferată;</w:t>
            </w:r>
          </w:p>
          <w:p w14:paraId="598F2A15" w14:textId="77777777" w:rsidR="00CC6F4F" w:rsidRDefault="00A35062">
            <w:pPr>
              <w:numPr>
                <w:ilvl w:val="0"/>
                <w:numId w:val="15"/>
              </w:numPr>
              <w:ind w:left="454"/>
              <w:jc w:val="both"/>
            </w:pPr>
            <w:r>
              <w:t>respectarea principiilor economiei de piață în funcționarea Societății;</w:t>
            </w:r>
          </w:p>
          <w:p w14:paraId="598F2A16" w14:textId="77777777" w:rsidR="00CC6F4F" w:rsidRDefault="00A35062">
            <w:pPr>
              <w:numPr>
                <w:ilvl w:val="0"/>
                <w:numId w:val="15"/>
              </w:numPr>
              <w:ind w:left="454"/>
              <w:jc w:val="both"/>
            </w:pPr>
            <w:r>
              <w:t>garantarea tratamentului egal şi nediscriminatoriu al operatorilor economici în dobândirea de produse, servicii sau lucrări necesare desfășurării activității Societății;</w:t>
            </w:r>
          </w:p>
          <w:p w14:paraId="598F2A17" w14:textId="77777777" w:rsidR="00CC6F4F" w:rsidRDefault="00A35062">
            <w:pPr>
              <w:numPr>
                <w:ilvl w:val="0"/>
                <w:numId w:val="15"/>
              </w:numPr>
              <w:ind w:left="454"/>
              <w:jc w:val="both"/>
            </w:pPr>
            <w:r>
              <w:t>transparența fondurilor publice alocate la înființare şi utilizarea eficientă și transparentă a acestora pe parcursul funcționării Societății,</w:t>
            </w:r>
          </w:p>
          <w:p w14:paraId="598F2A18" w14:textId="77777777" w:rsidR="00CC6F4F" w:rsidRDefault="00A35062">
            <w:pPr>
              <w:numPr>
                <w:ilvl w:val="0"/>
                <w:numId w:val="15"/>
              </w:numPr>
              <w:ind w:left="454"/>
              <w:jc w:val="both"/>
            </w:pPr>
            <w:r>
              <w:t>necesități sociale, economice şi/ sau de mediu a căror satisfacere se realizează prin Societate.</w:t>
            </w:r>
          </w:p>
          <w:p w14:paraId="598F2A19" w14:textId="77777777" w:rsidR="00CC6F4F" w:rsidRDefault="00A35062">
            <w:pPr>
              <w:numPr>
                <w:ilvl w:val="0"/>
                <w:numId w:val="15"/>
              </w:numPr>
              <w:ind w:left="454"/>
              <w:jc w:val="both"/>
            </w:pPr>
            <w:r>
              <w:t>evitarea unor situații de natură să determine conflicte sociale.</w:t>
            </w:r>
          </w:p>
          <w:p w14:paraId="598F2A1A" w14:textId="77777777" w:rsidR="00CC6F4F" w:rsidRDefault="00CC6F4F">
            <w:pPr>
              <w:jc w:val="both"/>
            </w:pPr>
          </w:p>
          <w:p w14:paraId="598F2A1B" w14:textId="77777777" w:rsidR="00CC6F4F" w:rsidRDefault="00CC6F4F">
            <w:pPr>
              <w:jc w:val="both"/>
            </w:pPr>
          </w:p>
        </w:tc>
      </w:tr>
    </w:tbl>
    <w:p w14:paraId="598F2A1D" w14:textId="77777777" w:rsidR="00CC6F4F" w:rsidRDefault="00CC6F4F">
      <w:pPr>
        <w:rPr>
          <w:b/>
        </w:rPr>
      </w:pPr>
    </w:p>
    <w:p w14:paraId="598F2A1E" w14:textId="77777777" w:rsidR="00CC6F4F" w:rsidRDefault="00A35062">
      <w:pPr>
        <w:jc w:val="center"/>
        <w:rPr>
          <w:b/>
        </w:rPr>
      </w:pPr>
      <w:r>
        <w:rPr>
          <w:b/>
        </w:rPr>
        <w:t>Secţiunea a 3 – a</w:t>
      </w:r>
    </w:p>
    <w:p w14:paraId="598F2A1F" w14:textId="77777777" w:rsidR="00CC6F4F" w:rsidRDefault="00A35062">
      <w:pPr>
        <w:jc w:val="center"/>
        <w:rPr>
          <w:b/>
        </w:rPr>
      </w:pPr>
      <w:r>
        <w:rPr>
          <w:b/>
        </w:rPr>
        <w:t>Impactul socioeconomic</w:t>
      </w:r>
    </w:p>
    <w:p w14:paraId="598F2A20" w14:textId="77777777" w:rsidR="00CC6F4F" w:rsidRDefault="00A35062">
      <w:pPr>
        <w:jc w:val="center"/>
        <w:rPr>
          <w:b/>
        </w:rPr>
      </w:pPr>
      <w:r>
        <w:rPr>
          <w:b/>
        </w:rPr>
        <w:lastRenderedPageBreak/>
        <w:t xml:space="preserve"> </w:t>
      </w:r>
    </w:p>
    <w:tbl>
      <w:tblPr>
        <w:tblStyle w:val="a1"/>
        <w:tblW w:w="1063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9"/>
        <w:gridCol w:w="7032"/>
      </w:tblGrid>
      <w:tr w:rsidR="00CC6F4F" w14:paraId="598F2A23" w14:textId="77777777">
        <w:tc>
          <w:tcPr>
            <w:tcW w:w="3599" w:type="dxa"/>
          </w:tcPr>
          <w:p w14:paraId="598F2A21" w14:textId="77777777" w:rsidR="00CC6F4F" w:rsidRDefault="00A35062">
            <w:pPr>
              <w:jc w:val="both"/>
            </w:pPr>
            <w:r>
              <w:t>3.1. Descrierea generală a beneficiilor şi costurilor estimate ca urmare a intrării în vigoare a actului normativ</w:t>
            </w:r>
          </w:p>
        </w:tc>
        <w:tc>
          <w:tcPr>
            <w:tcW w:w="7033" w:type="dxa"/>
          </w:tcPr>
          <w:p w14:paraId="598F2A22" w14:textId="05BD7D0F" w:rsidR="00CC6F4F" w:rsidRDefault="0076422F">
            <w:pPr>
              <w:jc w:val="both"/>
            </w:pPr>
            <w:r>
              <w:t xml:space="preserve">Conform documentației întocmite potrivit art. 15 </w:t>
            </w:r>
            <w:r w:rsidR="006C02FC">
              <w:t xml:space="preserve">alin. (3) </w:t>
            </w:r>
            <w:r>
              <w:t>din OUG nr.</w:t>
            </w:r>
            <w:r w:rsidR="006C02FC">
              <w:t xml:space="preserve"> 20/2014.</w:t>
            </w:r>
            <w:r>
              <w:t xml:space="preserve"> </w:t>
            </w:r>
          </w:p>
        </w:tc>
      </w:tr>
      <w:tr w:rsidR="00CC6F4F" w14:paraId="598F2A27" w14:textId="77777777">
        <w:tc>
          <w:tcPr>
            <w:tcW w:w="3599" w:type="dxa"/>
          </w:tcPr>
          <w:p w14:paraId="598F2A24" w14:textId="77777777" w:rsidR="00CC6F4F" w:rsidRDefault="00A35062">
            <w:pPr>
              <w:jc w:val="both"/>
            </w:pPr>
            <w:r>
              <w:t>3.2. Impactul social</w:t>
            </w:r>
          </w:p>
        </w:tc>
        <w:tc>
          <w:tcPr>
            <w:tcW w:w="7033" w:type="dxa"/>
          </w:tcPr>
          <w:p w14:paraId="598F2A26" w14:textId="79398214" w:rsidR="00CC6F4F" w:rsidRDefault="006C02FC">
            <w:pPr>
              <w:jc w:val="both"/>
            </w:pPr>
            <w:r>
              <w:t xml:space="preserve">Conform documentației întocmite potrivit art. 15 alin. (3) din OUG nr. 20/2014. </w:t>
            </w:r>
          </w:p>
        </w:tc>
      </w:tr>
      <w:tr w:rsidR="00CC6F4F" w14:paraId="598F2A2A" w14:textId="77777777">
        <w:tc>
          <w:tcPr>
            <w:tcW w:w="3599" w:type="dxa"/>
          </w:tcPr>
          <w:p w14:paraId="598F2A28" w14:textId="77777777" w:rsidR="00CC6F4F" w:rsidRDefault="00A35062">
            <w:pPr>
              <w:jc w:val="both"/>
            </w:pPr>
            <w:r>
              <w:t xml:space="preserve">3.3. Impactul asupra drepturilor şi libertăţilor fundamentale ale omului </w:t>
            </w:r>
          </w:p>
        </w:tc>
        <w:tc>
          <w:tcPr>
            <w:tcW w:w="7033" w:type="dxa"/>
          </w:tcPr>
          <w:p w14:paraId="598F2A29" w14:textId="77777777" w:rsidR="00CC6F4F" w:rsidRDefault="00A35062">
            <w:pPr>
              <w:jc w:val="both"/>
            </w:pPr>
            <w:r>
              <w:t>Nu este cazul.</w:t>
            </w:r>
          </w:p>
        </w:tc>
      </w:tr>
      <w:tr w:rsidR="00CC6F4F" w14:paraId="598F2A30" w14:textId="77777777">
        <w:trPr>
          <w:trHeight w:val="1909"/>
        </w:trPr>
        <w:tc>
          <w:tcPr>
            <w:tcW w:w="3599" w:type="dxa"/>
          </w:tcPr>
          <w:p w14:paraId="598F2A2B" w14:textId="77777777" w:rsidR="00CC6F4F" w:rsidRDefault="00A35062">
            <w:pPr>
              <w:numPr>
                <w:ilvl w:val="1"/>
                <w:numId w:val="12"/>
              </w:numPr>
              <w:ind w:left="0" w:firstLine="0"/>
              <w:jc w:val="both"/>
            </w:pPr>
            <w:r>
              <w:t>Impactul macroeconomic</w:t>
            </w:r>
          </w:p>
          <w:p w14:paraId="598F2A2C" w14:textId="77777777" w:rsidR="00CC6F4F" w:rsidRDefault="00A35062">
            <w:pPr>
              <w:numPr>
                <w:ilvl w:val="2"/>
                <w:numId w:val="10"/>
              </w:numPr>
              <w:ind w:left="0" w:firstLine="0"/>
              <w:jc w:val="both"/>
            </w:pPr>
            <w:r>
              <w:t>Impactul asupra economiei şi asupra principalilor indicatori macroeconomici</w:t>
            </w:r>
          </w:p>
          <w:p w14:paraId="598F2A2D" w14:textId="77777777" w:rsidR="00CC6F4F" w:rsidRDefault="00A35062">
            <w:pPr>
              <w:numPr>
                <w:ilvl w:val="2"/>
                <w:numId w:val="10"/>
              </w:numPr>
              <w:ind w:left="0" w:firstLine="0"/>
              <w:jc w:val="both"/>
            </w:pPr>
            <w:r>
              <w:t>Impactul asupra mediului concurenţial şi domeniului ajutoarelor de stat</w:t>
            </w:r>
          </w:p>
        </w:tc>
        <w:tc>
          <w:tcPr>
            <w:tcW w:w="7033" w:type="dxa"/>
          </w:tcPr>
          <w:p w14:paraId="598F2A2F" w14:textId="008EE472" w:rsidR="00CC6F4F" w:rsidRDefault="006C02FC">
            <w:pPr>
              <w:jc w:val="both"/>
            </w:pPr>
            <w:r>
              <w:t xml:space="preserve">Conform documentației întocmite potrivit art. 15 alin. (3) din OUG nr. 20/2014. </w:t>
            </w:r>
          </w:p>
        </w:tc>
      </w:tr>
      <w:tr w:rsidR="00CC6F4F" w14:paraId="598F2A34" w14:textId="77777777">
        <w:tc>
          <w:tcPr>
            <w:tcW w:w="3599" w:type="dxa"/>
          </w:tcPr>
          <w:p w14:paraId="598F2A31" w14:textId="77777777" w:rsidR="00CC6F4F" w:rsidRDefault="00A35062">
            <w:pPr>
              <w:jc w:val="both"/>
            </w:pPr>
            <w:r>
              <w:t>3.5. Impactul asupra mediului de afaceri</w:t>
            </w:r>
          </w:p>
        </w:tc>
        <w:tc>
          <w:tcPr>
            <w:tcW w:w="7033" w:type="dxa"/>
          </w:tcPr>
          <w:p w14:paraId="598F2A32" w14:textId="77777777" w:rsidR="00CC6F4F" w:rsidRDefault="00A35062">
            <w:pPr>
              <w:jc w:val="both"/>
              <w:rPr>
                <w:color w:val="000000"/>
              </w:rPr>
            </w:pPr>
            <w:r>
              <w:rPr>
                <w:color w:val="000000"/>
              </w:rPr>
              <w:t xml:space="preserve">Cererea crescută de transport marfă creează o oportunitate pentru înființarea unei companii.  </w:t>
            </w:r>
          </w:p>
          <w:p w14:paraId="598F2A33" w14:textId="77777777" w:rsidR="00CC6F4F" w:rsidRDefault="00CC6F4F">
            <w:pPr>
              <w:jc w:val="both"/>
            </w:pPr>
          </w:p>
        </w:tc>
      </w:tr>
      <w:tr w:rsidR="00CC6F4F" w14:paraId="598F2A37" w14:textId="77777777">
        <w:trPr>
          <w:trHeight w:val="905"/>
        </w:trPr>
        <w:tc>
          <w:tcPr>
            <w:tcW w:w="3599" w:type="dxa"/>
          </w:tcPr>
          <w:p w14:paraId="598F2A35" w14:textId="77777777" w:rsidR="00CC6F4F" w:rsidRDefault="00A35062">
            <w:pPr>
              <w:jc w:val="both"/>
            </w:pPr>
            <w:r>
              <w:t>3.6. Impactul asupra mediului înconjurător</w:t>
            </w:r>
          </w:p>
        </w:tc>
        <w:tc>
          <w:tcPr>
            <w:tcW w:w="7033" w:type="dxa"/>
          </w:tcPr>
          <w:p w14:paraId="598F2A36" w14:textId="77777777" w:rsidR="00CC6F4F" w:rsidRDefault="00A35062">
            <w:pPr>
              <w:jc w:val="both"/>
            </w:pPr>
            <w:r>
              <w:rPr>
                <w:color w:val="000000"/>
              </w:rPr>
              <w:t>Proiectul vizează încurajarea investițiilor în sectorul de transport feroviar, prin urmare favorizează indirect reducerea gazelor cu efect de seră și trecerea spre transporturi cu impact minim asupra mediului.</w:t>
            </w:r>
          </w:p>
        </w:tc>
      </w:tr>
      <w:tr w:rsidR="00CC6F4F" w14:paraId="598F2A3A" w14:textId="77777777">
        <w:tc>
          <w:tcPr>
            <w:tcW w:w="3599" w:type="dxa"/>
          </w:tcPr>
          <w:p w14:paraId="598F2A38" w14:textId="77777777" w:rsidR="00CC6F4F" w:rsidRDefault="00A35062">
            <w:pPr>
              <w:jc w:val="both"/>
            </w:pPr>
            <w:r>
              <w:t>3.7. Evaluarea costurilor şi beneficiilor din perspectiva inovării şi digitalizării</w:t>
            </w:r>
          </w:p>
        </w:tc>
        <w:tc>
          <w:tcPr>
            <w:tcW w:w="7033" w:type="dxa"/>
          </w:tcPr>
          <w:p w14:paraId="598F2A39" w14:textId="77777777" w:rsidR="00CC6F4F" w:rsidRDefault="00A35062">
            <w:pPr>
              <w:jc w:val="both"/>
            </w:pPr>
            <w:r>
              <w:t>Nu este cazul.</w:t>
            </w:r>
          </w:p>
        </w:tc>
      </w:tr>
      <w:tr w:rsidR="00CC6F4F" w14:paraId="598F2A40" w14:textId="77777777">
        <w:tc>
          <w:tcPr>
            <w:tcW w:w="3599" w:type="dxa"/>
          </w:tcPr>
          <w:p w14:paraId="598F2A3B" w14:textId="77777777" w:rsidR="00CC6F4F" w:rsidRDefault="00A35062">
            <w:pPr>
              <w:jc w:val="both"/>
            </w:pPr>
            <w:r>
              <w:t>3.8. Evaluarea costurilor şi beneficiilor din perspectiva dezvoltării durabile</w:t>
            </w:r>
          </w:p>
        </w:tc>
        <w:tc>
          <w:tcPr>
            <w:tcW w:w="7033" w:type="dxa"/>
          </w:tcPr>
          <w:p w14:paraId="598F2A3C" w14:textId="77777777" w:rsidR="00CC6F4F" w:rsidRDefault="00A35062">
            <w:pPr>
              <w:jc w:val="both"/>
            </w:pPr>
            <w:r>
              <w:t>Nu este cazul.</w:t>
            </w:r>
          </w:p>
          <w:p w14:paraId="598F2A3D" w14:textId="77777777" w:rsidR="00CC6F4F" w:rsidRDefault="00CC6F4F">
            <w:pPr>
              <w:jc w:val="both"/>
            </w:pPr>
          </w:p>
          <w:p w14:paraId="598F2A3E" w14:textId="77777777" w:rsidR="00CC6F4F" w:rsidRDefault="00CC6F4F">
            <w:pPr>
              <w:jc w:val="both"/>
            </w:pPr>
          </w:p>
          <w:p w14:paraId="598F2A3F" w14:textId="77777777" w:rsidR="00CC6F4F" w:rsidRDefault="00CC6F4F">
            <w:pPr>
              <w:jc w:val="both"/>
            </w:pPr>
          </w:p>
        </w:tc>
      </w:tr>
      <w:tr w:rsidR="00CC6F4F" w14:paraId="598F2A44" w14:textId="77777777">
        <w:trPr>
          <w:trHeight w:val="109"/>
        </w:trPr>
        <w:tc>
          <w:tcPr>
            <w:tcW w:w="3599" w:type="dxa"/>
          </w:tcPr>
          <w:p w14:paraId="598F2A41" w14:textId="77777777" w:rsidR="00CC6F4F" w:rsidRDefault="00A35062">
            <w:pPr>
              <w:jc w:val="both"/>
            </w:pPr>
            <w:r>
              <w:t>3.9. Alte informaţii</w:t>
            </w:r>
          </w:p>
        </w:tc>
        <w:tc>
          <w:tcPr>
            <w:tcW w:w="7033" w:type="dxa"/>
          </w:tcPr>
          <w:p w14:paraId="598F2A42" w14:textId="77777777" w:rsidR="00CC6F4F" w:rsidRDefault="00A35062">
            <w:pPr>
              <w:jc w:val="both"/>
            </w:pPr>
            <w:r>
              <w:t>Nu au fost identificate</w:t>
            </w:r>
          </w:p>
          <w:p w14:paraId="598F2A43" w14:textId="77777777" w:rsidR="00CC6F4F" w:rsidRDefault="00CC6F4F">
            <w:pPr>
              <w:jc w:val="both"/>
            </w:pPr>
          </w:p>
        </w:tc>
      </w:tr>
    </w:tbl>
    <w:p w14:paraId="598F2A45" w14:textId="77777777" w:rsidR="00CC6F4F" w:rsidRDefault="00CC6F4F">
      <w:pPr>
        <w:rPr>
          <w:b/>
        </w:rPr>
      </w:pPr>
    </w:p>
    <w:p w14:paraId="598F2A46" w14:textId="77777777" w:rsidR="00CC6F4F" w:rsidRDefault="00A35062">
      <w:pPr>
        <w:jc w:val="center"/>
        <w:rPr>
          <w:b/>
        </w:rPr>
      </w:pPr>
      <w:r>
        <w:rPr>
          <w:b/>
        </w:rPr>
        <w:t xml:space="preserve">Secţiunea a 4 – a </w:t>
      </w:r>
    </w:p>
    <w:p w14:paraId="598F2A47" w14:textId="77777777" w:rsidR="00CC6F4F" w:rsidRDefault="00A35062">
      <w:pPr>
        <w:jc w:val="center"/>
        <w:rPr>
          <w:b/>
        </w:rPr>
      </w:pPr>
      <w:r>
        <w:rPr>
          <w:b/>
        </w:rPr>
        <w:t>Impactul financiar asupra bugetului general consolidat, atât pe termen scurt, pentru anul curent, cât si pe termen lung (pe 5 ani), inclusiv informații cu privire la cheltuieli și venituri</w:t>
      </w:r>
    </w:p>
    <w:p w14:paraId="598F2A48" w14:textId="77777777" w:rsidR="00CC6F4F" w:rsidRDefault="00CC6F4F">
      <w:pPr>
        <w:jc w:val="center"/>
        <w:rPr>
          <w:b/>
        </w:rPr>
      </w:pPr>
    </w:p>
    <w:tbl>
      <w:tblPr>
        <w:tblStyle w:val="a2"/>
        <w:tblW w:w="10737" w:type="dxa"/>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750"/>
        <w:gridCol w:w="1260"/>
        <w:gridCol w:w="1080"/>
        <w:gridCol w:w="990"/>
        <w:gridCol w:w="900"/>
        <w:gridCol w:w="990"/>
        <w:gridCol w:w="1767"/>
      </w:tblGrid>
      <w:tr w:rsidR="00CC6F4F" w14:paraId="598F2A4A" w14:textId="77777777">
        <w:trPr>
          <w:trHeight w:val="87"/>
        </w:trPr>
        <w:tc>
          <w:tcPr>
            <w:tcW w:w="10737" w:type="dxa"/>
            <w:gridSpan w:val="7"/>
          </w:tcPr>
          <w:p w14:paraId="598F2A49" w14:textId="77777777" w:rsidR="00CC6F4F" w:rsidRDefault="00A35062">
            <w:pPr>
              <w:jc w:val="center"/>
            </w:pPr>
            <w:r>
              <w:t>- mii lei -</w:t>
            </w:r>
          </w:p>
        </w:tc>
      </w:tr>
      <w:tr w:rsidR="00CC6F4F" w14:paraId="598F2A4F" w14:textId="77777777">
        <w:trPr>
          <w:trHeight w:val="87"/>
        </w:trPr>
        <w:tc>
          <w:tcPr>
            <w:tcW w:w="3750" w:type="dxa"/>
          </w:tcPr>
          <w:p w14:paraId="598F2A4B" w14:textId="77777777" w:rsidR="00CC6F4F" w:rsidRDefault="00A35062">
            <w:pPr>
              <w:jc w:val="both"/>
            </w:pPr>
            <w:r>
              <w:t>Indicatori</w:t>
            </w:r>
          </w:p>
        </w:tc>
        <w:tc>
          <w:tcPr>
            <w:tcW w:w="1260" w:type="dxa"/>
          </w:tcPr>
          <w:p w14:paraId="598F2A4C" w14:textId="77777777" w:rsidR="00CC6F4F" w:rsidRDefault="00A35062">
            <w:pPr>
              <w:jc w:val="both"/>
            </w:pPr>
            <w:r>
              <w:t>Anul curent</w:t>
            </w:r>
          </w:p>
        </w:tc>
        <w:tc>
          <w:tcPr>
            <w:tcW w:w="3960" w:type="dxa"/>
            <w:gridSpan w:val="4"/>
          </w:tcPr>
          <w:p w14:paraId="598F2A4D" w14:textId="77777777" w:rsidR="00CC6F4F" w:rsidRDefault="00A35062">
            <w:pPr>
              <w:jc w:val="both"/>
            </w:pPr>
            <w:r>
              <w:t>Următorii 4 ani</w:t>
            </w:r>
          </w:p>
        </w:tc>
        <w:tc>
          <w:tcPr>
            <w:tcW w:w="1767" w:type="dxa"/>
          </w:tcPr>
          <w:p w14:paraId="598F2A4E" w14:textId="77777777" w:rsidR="00CC6F4F" w:rsidRDefault="00A35062">
            <w:pPr>
              <w:jc w:val="both"/>
            </w:pPr>
            <w:r>
              <w:t>Media pe 5 ani</w:t>
            </w:r>
          </w:p>
        </w:tc>
      </w:tr>
      <w:tr w:rsidR="00CC6F4F" w14:paraId="598F2A57" w14:textId="77777777">
        <w:trPr>
          <w:trHeight w:val="87"/>
        </w:trPr>
        <w:tc>
          <w:tcPr>
            <w:tcW w:w="3750" w:type="dxa"/>
          </w:tcPr>
          <w:p w14:paraId="598F2A50" w14:textId="77777777" w:rsidR="00CC6F4F" w:rsidRDefault="00A35062">
            <w:pPr>
              <w:jc w:val="center"/>
            </w:pPr>
            <w:r>
              <w:t>1</w:t>
            </w:r>
          </w:p>
        </w:tc>
        <w:tc>
          <w:tcPr>
            <w:tcW w:w="1260" w:type="dxa"/>
          </w:tcPr>
          <w:p w14:paraId="598F2A51" w14:textId="77777777" w:rsidR="00CC6F4F" w:rsidRDefault="00A35062">
            <w:pPr>
              <w:jc w:val="both"/>
            </w:pPr>
            <w:r>
              <w:t>2</w:t>
            </w:r>
          </w:p>
        </w:tc>
        <w:tc>
          <w:tcPr>
            <w:tcW w:w="1080" w:type="dxa"/>
          </w:tcPr>
          <w:p w14:paraId="598F2A52" w14:textId="77777777" w:rsidR="00CC6F4F" w:rsidRDefault="00A35062">
            <w:pPr>
              <w:jc w:val="both"/>
            </w:pPr>
            <w:r>
              <w:t>3</w:t>
            </w:r>
          </w:p>
        </w:tc>
        <w:tc>
          <w:tcPr>
            <w:tcW w:w="990" w:type="dxa"/>
          </w:tcPr>
          <w:p w14:paraId="598F2A53" w14:textId="77777777" w:rsidR="00CC6F4F" w:rsidRDefault="00A35062">
            <w:pPr>
              <w:jc w:val="both"/>
            </w:pPr>
            <w:r>
              <w:t>4</w:t>
            </w:r>
          </w:p>
        </w:tc>
        <w:tc>
          <w:tcPr>
            <w:tcW w:w="900" w:type="dxa"/>
          </w:tcPr>
          <w:p w14:paraId="598F2A54" w14:textId="77777777" w:rsidR="00CC6F4F" w:rsidRDefault="00A35062">
            <w:pPr>
              <w:jc w:val="both"/>
            </w:pPr>
            <w:r>
              <w:t>5</w:t>
            </w:r>
          </w:p>
        </w:tc>
        <w:tc>
          <w:tcPr>
            <w:tcW w:w="990" w:type="dxa"/>
          </w:tcPr>
          <w:p w14:paraId="598F2A55" w14:textId="77777777" w:rsidR="00CC6F4F" w:rsidRDefault="00A35062">
            <w:pPr>
              <w:jc w:val="both"/>
            </w:pPr>
            <w:r>
              <w:t>6</w:t>
            </w:r>
          </w:p>
        </w:tc>
        <w:tc>
          <w:tcPr>
            <w:tcW w:w="1767" w:type="dxa"/>
          </w:tcPr>
          <w:p w14:paraId="598F2A56" w14:textId="77777777" w:rsidR="00CC6F4F" w:rsidRDefault="00A35062">
            <w:pPr>
              <w:jc w:val="both"/>
            </w:pPr>
            <w:r>
              <w:t>7</w:t>
            </w:r>
          </w:p>
        </w:tc>
      </w:tr>
      <w:tr w:rsidR="00CC6F4F" w14:paraId="598F2A60" w14:textId="77777777">
        <w:trPr>
          <w:trHeight w:val="672"/>
        </w:trPr>
        <w:tc>
          <w:tcPr>
            <w:tcW w:w="3750" w:type="dxa"/>
          </w:tcPr>
          <w:p w14:paraId="598F2A58" w14:textId="77777777" w:rsidR="00CC6F4F" w:rsidRDefault="00A35062">
            <w:pPr>
              <w:jc w:val="both"/>
            </w:pPr>
            <w:r>
              <w:t>4.1. Modificări ale veniturilor bugetare, plus/minus, din care:</w:t>
            </w:r>
          </w:p>
          <w:p w14:paraId="598F2A59" w14:textId="77777777" w:rsidR="00CC6F4F" w:rsidRDefault="00CC6F4F">
            <w:pPr>
              <w:jc w:val="both"/>
            </w:pPr>
          </w:p>
        </w:tc>
        <w:tc>
          <w:tcPr>
            <w:tcW w:w="1260" w:type="dxa"/>
          </w:tcPr>
          <w:p w14:paraId="598F2A5A" w14:textId="77777777" w:rsidR="00CC6F4F" w:rsidRDefault="00CC6F4F">
            <w:pPr>
              <w:jc w:val="both"/>
              <w:rPr>
                <w:b/>
              </w:rPr>
            </w:pPr>
          </w:p>
        </w:tc>
        <w:tc>
          <w:tcPr>
            <w:tcW w:w="1080" w:type="dxa"/>
          </w:tcPr>
          <w:p w14:paraId="598F2A5B" w14:textId="77777777" w:rsidR="00CC6F4F" w:rsidRDefault="00CC6F4F">
            <w:pPr>
              <w:jc w:val="both"/>
            </w:pPr>
          </w:p>
        </w:tc>
        <w:tc>
          <w:tcPr>
            <w:tcW w:w="990" w:type="dxa"/>
          </w:tcPr>
          <w:p w14:paraId="598F2A5C" w14:textId="77777777" w:rsidR="00CC6F4F" w:rsidRDefault="00CC6F4F">
            <w:pPr>
              <w:jc w:val="both"/>
            </w:pPr>
          </w:p>
        </w:tc>
        <w:tc>
          <w:tcPr>
            <w:tcW w:w="900" w:type="dxa"/>
          </w:tcPr>
          <w:p w14:paraId="598F2A5D" w14:textId="77777777" w:rsidR="00CC6F4F" w:rsidRDefault="00CC6F4F">
            <w:pPr>
              <w:jc w:val="both"/>
            </w:pPr>
          </w:p>
        </w:tc>
        <w:tc>
          <w:tcPr>
            <w:tcW w:w="990" w:type="dxa"/>
          </w:tcPr>
          <w:p w14:paraId="598F2A5E" w14:textId="77777777" w:rsidR="00CC6F4F" w:rsidRDefault="00CC6F4F">
            <w:pPr>
              <w:jc w:val="both"/>
            </w:pPr>
          </w:p>
        </w:tc>
        <w:tc>
          <w:tcPr>
            <w:tcW w:w="1767" w:type="dxa"/>
          </w:tcPr>
          <w:p w14:paraId="598F2A5F" w14:textId="77777777" w:rsidR="00CC6F4F" w:rsidRDefault="00CC6F4F">
            <w:pPr>
              <w:jc w:val="both"/>
            </w:pPr>
          </w:p>
        </w:tc>
      </w:tr>
      <w:tr w:rsidR="00CC6F4F" w14:paraId="598F2A69" w14:textId="77777777">
        <w:trPr>
          <w:trHeight w:val="369"/>
        </w:trPr>
        <w:tc>
          <w:tcPr>
            <w:tcW w:w="3750" w:type="dxa"/>
            <w:vAlign w:val="center"/>
          </w:tcPr>
          <w:p w14:paraId="598F2A61" w14:textId="77777777" w:rsidR="00CC6F4F" w:rsidRDefault="00A35062">
            <w:pPr>
              <w:numPr>
                <w:ilvl w:val="0"/>
                <w:numId w:val="16"/>
              </w:numPr>
              <w:pBdr>
                <w:top w:val="nil"/>
                <w:left w:val="nil"/>
                <w:bottom w:val="nil"/>
                <w:right w:val="nil"/>
                <w:between w:val="nil"/>
              </w:pBdr>
              <w:jc w:val="both"/>
              <w:rPr>
                <w:color w:val="000000"/>
              </w:rPr>
            </w:pPr>
            <w:r>
              <w:rPr>
                <w:color w:val="000000"/>
              </w:rPr>
              <w:t>buget de stat, din acesta:</w:t>
            </w:r>
          </w:p>
          <w:p w14:paraId="598F2A62" w14:textId="77777777" w:rsidR="00CC6F4F" w:rsidRDefault="00CC6F4F">
            <w:pPr>
              <w:pBdr>
                <w:top w:val="nil"/>
                <w:left w:val="nil"/>
                <w:bottom w:val="nil"/>
                <w:right w:val="nil"/>
                <w:between w:val="nil"/>
              </w:pBdr>
              <w:ind w:left="720"/>
              <w:jc w:val="both"/>
              <w:rPr>
                <w:color w:val="000000"/>
              </w:rPr>
            </w:pPr>
          </w:p>
        </w:tc>
        <w:tc>
          <w:tcPr>
            <w:tcW w:w="1260" w:type="dxa"/>
          </w:tcPr>
          <w:p w14:paraId="598F2A63" w14:textId="77777777" w:rsidR="00CC6F4F" w:rsidRDefault="00CC6F4F">
            <w:pPr>
              <w:jc w:val="both"/>
              <w:rPr>
                <w:b/>
              </w:rPr>
            </w:pPr>
          </w:p>
        </w:tc>
        <w:tc>
          <w:tcPr>
            <w:tcW w:w="1080" w:type="dxa"/>
          </w:tcPr>
          <w:p w14:paraId="598F2A64" w14:textId="77777777" w:rsidR="00CC6F4F" w:rsidRDefault="00CC6F4F">
            <w:pPr>
              <w:jc w:val="both"/>
            </w:pPr>
          </w:p>
        </w:tc>
        <w:tc>
          <w:tcPr>
            <w:tcW w:w="990" w:type="dxa"/>
          </w:tcPr>
          <w:p w14:paraId="598F2A65" w14:textId="77777777" w:rsidR="00CC6F4F" w:rsidRDefault="00CC6F4F">
            <w:pPr>
              <w:jc w:val="both"/>
            </w:pPr>
          </w:p>
        </w:tc>
        <w:tc>
          <w:tcPr>
            <w:tcW w:w="900" w:type="dxa"/>
          </w:tcPr>
          <w:p w14:paraId="598F2A66" w14:textId="77777777" w:rsidR="00CC6F4F" w:rsidRDefault="00CC6F4F">
            <w:pPr>
              <w:jc w:val="both"/>
            </w:pPr>
          </w:p>
        </w:tc>
        <w:tc>
          <w:tcPr>
            <w:tcW w:w="990" w:type="dxa"/>
          </w:tcPr>
          <w:p w14:paraId="598F2A67" w14:textId="77777777" w:rsidR="00CC6F4F" w:rsidRDefault="00CC6F4F">
            <w:pPr>
              <w:jc w:val="both"/>
            </w:pPr>
          </w:p>
        </w:tc>
        <w:tc>
          <w:tcPr>
            <w:tcW w:w="1767" w:type="dxa"/>
          </w:tcPr>
          <w:p w14:paraId="598F2A68" w14:textId="77777777" w:rsidR="00CC6F4F" w:rsidRDefault="00CC6F4F">
            <w:pPr>
              <w:pBdr>
                <w:top w:val="nil"/>
                <w:left w:val="nil"/>
                <w:bottom w:val="nil"/>
                <w:right w:val="nil"/>
                <w:between w:val="nil"/>
              </w:pBdr>
              <w:jc w:val="both"/>
              <w:rPr>
                <w:b/>
                <w:color w:val="000000"/>
              </w:rPr>
            </w:pPr>
          </w:p>
        </w:tc>
      </w:tr>
      <w:tr w:rsidR="00CC6F4F" w14:paraId="598F2A72" w14:textId="77777777">
        <w:trPr>
          <w:trHeight w:val="337"/>
        </w:trPr>
        <w:tc>
          <w:tcPr>
            <w:tcW w:w="3750" w:type="dxa"/>
            <w:vAlign w:val="center"/>
          </w:tcPr>
          <w:p w14:paraId="598F2A6A" w14:textId="77777777" w:rsidR="00CC6F4F" w:rsidRDefault="00A35062">
            <w:pPr>
              <w:numPr>
                <w:ilvl w:val="0"/>
                <w:numId w:val="17"/>
              </w:numPr>
              <w:pBdr>
                <w:top w:val="nil"/>
                <w:left w:val="nil"/>
                <w:bottom w:val="nil"/>
                <w:right w:val="nil"/>
                <w:between w:val="nil"/>
              </w:pBdr>
              <w:jc w:val="both"/>
              <w:rPr>
                <w:color w:val="000000"/>
              </w:rPr>
            </w:pPr>
            <w:r>
              <w:rPr>
                <w:color w:val="000000"/>
              </w:rPr>
              <w:t>impozit pe profit</w:t>
            </w:r>
          </w:p>
          <w:p w14:paraId="598F2A6B" w14:textId="77777777" w:rsidR="00CC6F4F" w:rsidRDefault="00CC6F4F">
            <w:pPr>
              <w:pBdr>
                <w:top w:val="nil"/>
                <w:left w:val="nil"/>
                <w:bottom w:val="nil"/>
                <w:right w:val="nil"/>
                <w:between w:val="nil"/>
              </w:pBdr>
              <w:ind w:left="1080"/>
              <w:jc w:val="both"/>
              <w:rPr>
                <w:color w:val="000000"/>
              </w:rPr>
            </w:pPr>
          </w:p>
        </w:tc>
        <w:tc>
          <w:tcPr>
            <w:tcW w:w="1260" w:type="dxa"/>
          </w:tcPr>
          <w:p w14:paraId="598F2A6C" w14:textId="77777777" w:rsidR="00CC6F4F" w:rsidRDefault="00CC6F4F">
            <w:pPr>
              <w:jc w:val="both"/>
              <w:rPr>
                <w:b/>
              </w:rPr>
            </w:pPr>
          </w:p>
        </w:tc>
        <w:tc>
          <w:tcPr>
            <w:tcW w:w="1080" w:type="dxa"/>
          </w:tcPr>
          <w:p w14:paraId="598F2A6D" w14:textId="77777777" w:rsidR="00CC6F4F" w:rsidRDefault="00CC6F4F">
            <w:pPr>
              <w:jc w:val="both"/>
            </w:pPr>
          </w:p>
        </w:tc>
        <w:tc>
          <w:tcPr>
            <w:tcW w:w="990" w:type="dxa"/>
          </w:tcPr>
          <w:p w14:paraId="598F2A6E" w14:textId="77777777" w:rsidR="00CC6F4F" w:rsidRDefault="00CC6F4F">
            <w:pPr>
              <w:jc w:val="both"/>
            </w:pPr>
          </w:p>
        </w:tc>
        <w:tc>
          <w:tcPr>
            <w:tcW w:w="900" w:type="dxa"/>
          </w:tcPr>
          <w:p w14:paraId="598F2A6F" w14:textId="77777777" w:rsidR="00CC6F4F" w:rsidRDefault="00CC6F4F">
            <w:pPr>
              <w:jc w:val="both"/>
            </w:pPr>
          </w:p>
        </w:tc>
        <w:tc>
          <w:tcPr>
            <w:tcW w:w="990" w:type="dxa"/>
          </w:tcPr>
          <w:p w14:paraId="598F2A70" w14:textId="77777777" w:rsidR="00CC6F4F" w:rsidRDefault="00CC6F4F">
            <w:pPr>
              <w:jc w:val="both"/>
            </w:pPr>
          </w:p>
        </w:tc>
        <w:tc>
          <w:tcPr>
            <w:tcW w:w="1767" w:type="dxa"/>
          </w:tcPr>
          <w:p w14:paraId="598F2A71" w14:textId="77777777" w:rsidR="00CC6F4F" w:rsidRDefault="00CC6F4F">
            <w:pPr>
              <w:pBdr>
                <w:top w:val="nil"/>
                <w:left w:val="nil"/>
                <w:bottom w:val="nil"/>
                <w:right w:val="nil"/>
                <w:between w:val="nil"/>
              </w:pBdr>
              <w:jc w:val="both"/>
              <w:rPr>
                <w:b/>
                <w:color w:val="000000"/>
              </w:rPr>
            </w:pPr>
          </w:p>
        </w:tc>
      </w:tr>
      <w:tr w:rsidR="00CC6F4F" w14:paraId="598F2A7B" w14:textId="77777777">
        <w:trPr>
          <w:trHeight w:val="331"/>
        </w:trPr>
        <w:tc>
          <w:tcPr>
            <w:tcW w:w="3750" w:type="dxa"/>
            <w:vAlign w:val="center"/>
          </w:tcPr>
          <w:p w14:paraId="598F2A73" w14:textId="77777777" w:rsidR="00CC6F4F" w:rsidRDefault="00A35062">
            <w:pPr>
              <w:numPr>
                <w:ilvl w:val="0"/>
                <w:numId w:val="17"/>
              </w:numPr>
              <w:pBdr>
                <w:top w:val="nil"/>
                <w:left w:val="nil"/>
                <w:bottom w:val="nil"/>
                <w:right w:val="nil"/>
                <w:between w:val="nil"/>
              </w:pBdr>
              <w:jc w:val="both"/>
              <w:rPr>
                <w:color w:val="000000"/>
              </w:rPr>
            </w:pPr>
            <w:r>
              <w:rPr>
                <w:color w:val="000000"/>
              </w:rPr>
              <w:t>impozit pe venit</w:t>
            </w:r>
          </w:p>
          <w:p w14:paraId="598F2A74" w14:textId="77777777" w:rsidR="00CC6F4F" w:rsidRDefault="00CC6F4F">
            <w:pPr>
              <w:pBdr>
                <w:top w:val="nil"/>
                <w:left w:val="nil"/>
                <w:bottom w:val="nil"/>
                <w:right w:val="nil"/>
                <w:between w:val="nil"/>
              </w:pBdr>
              <w:ind w:left="1080"/>
              <w:jc w:val="both"/>
              <w:rPr>
                <w:color w:val="000000"/>
              </w:rPr>
            </w:pPr>
          </w:p>
        </w:tc>
        <w:tc>
          <w:tcPr>
            <w:tcW w:w="1260" w:type="dxa"/>
          </w:tcPr>
          <w:p w14:paraId="598F2A75" w14:textId="77777777" w:rsidR="00CC6F4F" w:rsidRDefault="00CC6F4F">
            <w:pPr>
              <w:jc w:val="both"/>
              <w:rPr>
                <w:b/>
              </w:rPr>
            </w:pPr>
          </w:p>
        </w:tc>
        <w:tc>
          <w:tcPr>
            <w:tcW w:w="1080" w:type="dxa"/>
          </w:tcPr>
          <w:p w14:paraId="598F2A76" w14:textId="77777777" w:rsidR="00CC6F4F" w:rsidRDefault="00CC6F4F">
            <w:pPr>
              <w:jc w:val="both"/>
            </w:pPr>
          </w:p>
        </w:tc>
        <w:tc>
          <w:tcPr>
            <w:tcW w:w="990" w:type="dxa"/>
          </w:tcPr>
          <w:p w14:paraId="598F2A77" w14:textId="77777777" w:rsidR="00CC6F4F" w:rsidRDefault="00CC6F4F">
            <w:pPr>
              <w:jc w:val="both"/>
            </w:pPr>
          </w:p>
        </w:tc>
        <w:tc>
          <w:tcPr>
            <w:tcW w:w="900" w:type="dxa"/>
          </w:tcPr>
          <w:p w14:paraId="598F2A78" w14:textId="77777777" w:rsidR="00CC6F4F" w:rsidRDefault="00CC6F4F">
            <w:pPr>
              <w:jc w:val="both"/>
            </w:pPr>
          </w:p>
        </w:tc>
        <w:tc>
          <w:tcPr>
            <w:tcW w:w="990" w:type="dxa"/>
          </w:tcPr>
          <w:p w14:paraId="598F2A79" w14:textId="77777777" w:rsidR="00CC6F4F" w:rsidRDefault="00CC6F4F">
            <w:pPr>
              <w:jc w:val="both"/>
            </w:pPr>
          </w:p>
        </w:tc>
        <w:tc>
          <w:tcPr>
            <w:tcW w:w="1767" w:type="dxa"/>
          </w:tcPr>
          <w:p w14:paraId="598F2A7A" w14:textId="77777777" w:rsidR="00CC6F4F" w:rsidRDefault="00CC6F4F">
            <w:pPr>
              <w:pBdr>
                <w:top w:val="nil"/>
                <w:left w:val="nil"/>
                <w:bottom w:val="nil"/>
                <w:right w:val="nil"/>
                <w:between w:val="nil"/>
              </w:pBdr>
              <w:jc w:val="both"/>
              <w:rPr>
                <w:b/>
                <w:color w:val="000000"/>
              </w:rPr>
            </w:pPr>
          </w:p>
        </w:tc>
      </w:tr>
      <w:tr w:rsidR="00CC6F4F" w14:paraId="598F2A84" w14:textId="77777777">
        <w:trPr>
          <w:trHeight w:val="340"/>
        </w:trPr>
        <w:tc>
          <w:tcPr>
            <w:tcW w:w="3750" w:type="dxa"/>
            <w:vAlign w:val="center"/>
          </w:tcPr>
          <w:p w14:paraId="598F2A7C" w14:textId="77777777" w:rsidR="00CC6F4F" w:rsidRDefault="00A35062">
            <w:pPr>
              <w:numPr>
                <w:ilvl w:val="0"/>
                <w:numId w:val="16"/>
              </w:numPr>
              <w:pBdr>
                <w:top w:val="nil"/>
                <w:left w:val="nil"/>
                <w:bottom w:val="nil"/>
                <w:right w:val="nil"/>
                <w:between w:val="nil"/>
              </w:pBdr>
              <w:jc w:val="both"/>
              <w:rPr>
                <w:color w:val="000000"/>
              </w:rPr>
            </w:pPr>
            <w:r>
              <w:rPr>
                <w:color w:val="000000"/>
              </w:rPr>
              <w:lastRenderedPageBreak/>
              <w:t>bugete locale:</w:t>
            </w:r>
          </w:p>
          <w:p w14:paraId="598F2A7D" w14:textId="77777777" w:rsidR="00CC6F4F" w:rsidRDefault="00CC6F4F">
            <w:pPr>
              <w:pBdr>
                <w:top w:val="nil"/>
                <w:left w:val="nil"/>
                <w:bottom w:val="nil"/>
                <w:right w:val="nil"/>
                <w:between w:val="nil"/>
              </w:pBdr>
              <w:ind w:left="720"/>
              <w:jc w:val="both"/>
              <w:rPr>
                <w:color w:val="000000"/>
              </w:rPr>
            </w:pPr>
          </w:p>
        </w:tc>
        <w:tc>
          <w:tcPr>
            <w:tcW w:w="1260" w:type="dxa"/>
          </w:tcPr>
          <w:p w14:paraId="598F2A7E" w14:textId="77777777" w:rsidR="00CC6F4F" w:rsidRDefault="00CC6F4F">
            <w:pPr>
              <w:jc w:val="both"/>
              <w:rPr>
                <w:b/>
              </w:rPr>
            </w:pPr>
          </w:p>
        </w:tc>
        <w:tc>
          <w:tcPr>
            <w:tcW w:w="1080" w:type="dxa"/>
          </w:tcPr>
          <w:p w14:paraId="598F2A7F" w14:textId="77777777" w:rsidR="00CC6F4F" w:rsidRDefault="00CC6F4F">
            <w:pPr>
              <w:jc w:val="both"/>
            </w:pPr>
          </w:p>
        </w:tc>
        <w:tc>
          <w:tcPr>
            <w:tcW w:w="990" w:type="dxa"/>
          </w:tcPr>
          <w:p w14:paraId="598F2A80" w14:textId="77777777" w:rsidR="00CC6F4F" w:rsidRDefault="00CC6F4F">
            <w:pPr>
              <w:jc w:val="both"/>
            </w:pPr>
          </w:p>
        </w:tc>
        <w:tc>
          <w:tcPr>
            <w:tcW w:w="900" w:type="dxa"/>
          </w:tcPr>
          <w:p w14:paraId="598F2A81" w14:textId="77777777" w:rsidR="00CC6F4F" w:rsidRDefault="00CC6F4F">
            <w:pPr>
              <w:jc w:val="both"/>
            </w:pPr>
          </w:p>
        </w:tc>
        <w:tc>
          <w:tcPr>
            <w:tcW w:w="990" w:type="dxa"/>
          </w:tcPr>
          <w:p w14:paraId="598F2A82" w14:textId="77777777" w:rsidR="00CC6F4F" w:rsidRDefault="00CC6F4F">
            <w:pPr>
              <w:jc w:val="both"/>
            </w:pPr>
          </w:p>
        </w:tc>
        <w:tc>
          <w:tcPr>
            <w:tcW w:w="1767" w:type="dxa"/>
          </w:tcPr>
          <w:p w14:paraId="598F2A83" w14:textId="77777777" w:rsidR="00CC6F4F" w:rsidRDefault="00CC6F4F">
            <w:pPr>
              <w:pBdr>
                <w:top w:val="nil"/>
                <w:left w:val="nil"/>
                <w:bottom w:val="nil"/>
                <w:right w:val="nil"/>
                <w:between w:val="nil"/>
              </w:pBdr>
              <w:jc w:val="both"/>
              <w:rPr>
                <w:b/>
                <w:color w:val="000000"/>
              </w:rPr>
            </w:pPr>
          </w:p>
        </w:tc>
      </w:tr>
      <w:tr w:rsidR="00CC6F4F" w14:paraId="598F2A8D" w14:textId="77777777">
        <w:trPr>
          <w:trHeight w:val="386"/>
        </w:trPr>
        <w:tc>
          <w:tcPr>
            <w:tcW w:w="3750" w:type="dxa"/>
            <w:vAlign w:val="center"/>
          </w:tcPr>
          <w:p w14:paraId="598F2A85" w14:textId="77777777" w:rsidR="00CC6F4F" w:rsidRDefault="00A35062">
            <w:pPr>
              <w:numPr>
                <w:ilvl w:val="0"/>
                <w:numId w:val="1"/>
              </w:numPr>
              <w:pBdr>
                <w:top w:val="nil"/>
                <w:left w:val="nil"/>
                <w:bottom w:val="nil"/>
                <w:right w:val="nil"/>
                <w:between w:val="nil"/>
              </w:pBdr>
              <w:jc w:val="both"/>
              <w:rPr>
                <w:color w:val="000000"/>
              </w:rPr>
            </w:pPr>
            <w:r>
              <w:rPr>
                <w:color w:val="000000"/>
              </w:rPr>
              <w:t>impozit pe profit</w:t>
            </w:r>
          </w:p>
          <w:p w14:paraId="598F2A86" w14:textId="77777777" w:rsidR="00CC6F4F" w:rsidRDefault="00CC6F4F">
            <w:pPr>
              <w:pBdr>
                <w:top w:val="nil"/>
                <w:left w:val="nil"/>
                <w:bottom w:val="nil"/>
                <w:right w:val="nil"/>
                <w:between w:val="nil"/>
              </w:pBdr>
              <w:ind w:left="1080"/>
              <w:jc w:val="both"/>
              <w:rPr>
                <w:color w:val="000000"/>
              </w:rPr>
            </w:pPr>
          </w:p>
        </w:tc>
        <w:tc>
          <w:tcPr>
            <w:tcW w:w="1260" w:type="dxa"/>
          </w:tcPr>
          <w:p w14:paraId="598F2A87" w14:textId="77777777" w:rsidR="00CC6F4F" w:rsidRDefault="00CC6F4F">
            <w:pPr>
              <w:jc w:val="both"/>
              <w:rPr>
                <w:b/>
              </w:rPr>
            </w:pPr>
          </w:p>
        </w:tc>
        <w:tc>
          <w:tcPr>
            <w:tcW w:w="1080" w:type="dxa"/>
          </w:tcPr>
          <w:p w14:paraId="598F2A88" w14:textId="77777777" w:rsidR="00CC6F4F" w:rsidRDefault="00CC6F4F">
            <w:pPr>
              <w:jc w:val="both"/>
            </w:pPr>
          </w:p>
        </w:tc>
        <w:tc>
          <w:tcPr>
            <w:tcW w:w="990" w:type="dxa"/>
          </w:tcPr>
          <w:p w14:paraId="598F2A89" w14:textId="77777777" w:rsidR="00CC6F4F" w:rsidRDefault="00CC6F4F">
            <w:pPr>
              <w:jc w:val="both"/>
            </w:pPr>
          </w:p>
        </w:tc>
        <w:tc>
          <w:tcPr>
            <w:tcW w:w="900" w:type="dxa"/>
          </w:tcPr>
          <w:p w14:paraId="598F2A8A" w14:textId="77777777" w:rsidR="00CC6F4F" w:rsidRDefault="00CC6F4F">
            <w:pPr>
              <w:jc w:val="both"/>
            </w:pPr>
          </w:p>
        </w:tc>
        <w:tc>
          <w:tcPr>
            <w:tcW w:w="990" w:type="dxa"/>
          </w:tcPr>
          <w:p w14:paraId="598F2A8B" w14:textId="77777777" w:rsidR="00CC6F4F" w:rsidRDefault="00CC6F4F">
            <w:pPr>
              <w:jc w:val="both"/>
            </w:pPr>
          </w:p>
        </w:tc>
        <w:tc>
          <w:tcPr>
            <w:tcW w:w="1767" w:type="dxa"/>
          </w:tcPr>
          <w:p w14:paraId="598F2A8C" w14:textId="77777777" w:rsidR="00CC6F4F" w:rsidRDefault="00CC6F4F">
            <w:pPr>
              <w:pBdr>
                <w:top w:val="nil"/>
                <w:left w:val="nil"/>
                <w:bottom w:val="nil"/>
                <w:right w:val="nil"/>
                <w:between w:val="nil"/>
              </w:pBdr>
              <w:jc w:val="both"/>
              <w:rPr>
                <w:b/>
                <w:color w:val="000000"/>
              </w:rPr>
            </w:pPr>
          </w:p>
        </w:tc>
      </w:tr>
      <w:tr w:rsidR="00CC6F4F" w14:paraId="598F2A96" w14:textId="77777777">
        <w:trPr>
          <w:trHeight w:val="470"/>
        </w:trPr>
        <w:tc>
          <w:tcPr>
            <w:tcW w:w="3750" w:type="dxa"/>
            <w:vAlign w:val="center"/>
          </w:tcPr>
          <w:p w14:paraId="598F2A8E" w14:textId="77777777" w:rsidR="00CC6F4F" w:rsidRDefault="00A35062">
            <w:pPr>
              <w:numPr>
                <w:ilvl w:val="0"/>
                <w:numId w:val="16"/>
              </w:numPr>
              <w:pBdr>
                <w:top w:val="nil"/>
                <w:left w:val="nil"/>
                <w:bottom w:val="nil"/>
                <w:right w:val="nil"/>
                <w:between w:val="nil"/>
              </w:pBdr>
              <w:jc w:val="both"/>
              <w:rPr>
                <w:color w:val="000000"/>
              </w:rPr>
            </w:pPr>
            <w:r>
              <w:rPr>
                <w:color w:val="000000"/>
              </w:rPr>
              <w:t>bugetul asigurărilor sociale de stat:</w:t>
            </w:r>
          </w:p>
          <w:p w14:paraId="598F2A8F" w14:textId="77777777" w:rsidR="00CC6F4F" w:rsidRDefault="00CC6F4F">
            <w:pPr>
              <w:pBdr>
                <w:top w:val="nil"/>
                <w:left w:val="nil"/>
                <w:bottom w:val="nil"/>
                <w:right w:val="nil"/>
                <w:between w:val="nil"/>
              </w:pBdr>
              <w:ind w:left="720"/>
              <w:jc w:val="both"/>
              <w:rPr>
                <w:color w:val="000000"/>
              </w:rPr>
            </w:pPr>
          </w:p>
        </w:tc>
        <w:tc>
          <w:tcPr>
            <w:tcW w:w="1260" w:type="dxa"/>
          </w:tcPr>
          <w:p w14:paraId="598F2A90" w14:textId="77777777" w:rsidR="00CC6F4F" w:rsidRDefault="00CC6F4F">
            <w:pPr>
              <w:jc w:val="both"/>
              <w:rPr>
                <w:b/>
              </w:rPr>
            </w:pPr>
          </w:p>
        </w:tc>
        <w:tc>
          <w:tcPr>
            <w:tcW w:w="1080" w:type="dxa"/>
          </w:tcPr>
          <w:p w14:paraId="598F2A91" w14:textId="77777777" w:rsidR="00CC6F4F" w:rsidRDefault="00CC6F4F">
            <w:pPr>
              <w:jc w:val="both"/>
            </w:pPr>
          </w:p>
        </w:tc>
        <w:tc>
          <w:tcPr>
            <w:tcW w:w="990" w:type="dxa"/>
          </w:tcPr>
          <w:p w14:paraId="598F2A92" w14:textId="77777777" w:rsidR="00CC6F4F" w:rsidRDefault="00CC6F4F">
            <w:pPr>
              <w:jc w:val="both"/>
            </w:pPr>
          </w:p>
        </w:tc>
        <w:tc>
          <w:tcPr>
            <w:tcW w:w="900" w:type="dxa"/>
          </w:tcPr>
          <w:p w14:paraId="598F2A93" w14:textId="77777777" w:rsidR="00CC6F4F" w:rsidRDefault="00CC6F4F">
            <w:pPr>
              <w:jc w:val="both"/>
            </w:pPr>
          </w:p>
        </w:tc>
        <w:tc>
          <w:tcPr>
            <w:tcW w:w="990" w:type="dxa"/>
          </w:tcPr>
          <w:p w14:paraId="598F2A94" w14:textId="77777777" w:rsidR="00CC6F4F" w:rsidRDefault="00CC6F4F">
            <w:pPr>
              <w:jc w:val="both"/>
            </w:pPr>
          </w:p>
        </w:tc>
        <w:tc>
          <w:tcPr>
            <w:tcW w:w="1767" w:type="dxa"/>
          </w:tcPr>
          <w:p w14:paraId="598F2A95" w14:textId="77777777" w:rsidR="00CC6F4F" w:rsidRDefault="00CC6F4F">
            <w:pPr>
              <w:pBdr>
                <w:top w:val="nil"/>
                <w:left w:val="nil"/>
                <w:bottom w:val="nil"/>
                <w:right w:val="nil"/>
                <w:between w:val="nil"/>
              </w:pBdr>
              <w:jc w:val="both"/>
              <w:rPr>
                <w:b/>
                <w:color w:val="000000"/>
              </w:rPr>
            </w:pPr>
          </w:p>
        </w:tc>
      </w:tr>
      <w:tr w:rsidR="00CC6F4F" w14:paraId="598F2A9F" w14:textId="77777777">
        <w:trPr>
          <w:trHeight w:val="385"/>
        </w:trPr>
        <w:tc>
          <w:tcPr>
            <w:tcW w:w="3750" w:type="dxa"/>
            <w:vAlign w:val="center"/>
          </w:tcPr>
          <w:p w14:paraId="598F2A97" w14:textId="77777777" w:rsidR="00CC6F4F" w:rsidRDefault="00A35062">
            <w:pPr>
              <w:numPr>
                <w:ilvl w:val="0"/>
                <w:numId w:val="3"/>
              </w:numPr>
              <w:pBdr>
                <w:top w:val="nil"/>
                <w:left w:val="nil"/>
                <w:bottom w:val="nil"/>
                <w:right w:val="nil"/>
                <w:between w:val="nil"/>
              </w:pBdr>
              <w:jc w:val="both"/>
              <w:rPr>
                <w:color w:val="000000"/>
              </w:rPr>
            </w:pPr>
            <w:r>
              <w:rPr>
                <w:color w:val="000000"/>
              </w:rPr>
              <w:t>contribuţii de asigurări</w:t>
            </w:r>
          </w:p>
          <w:p w14:paraId="598F2A98" w14:textId="77777777" w:rsidR="00CC6F4F" w:rsidRDefault="00CC6F4F">
            <w:pPr>
              <w:pBdr>
                <w:top w:val="nil"/>
                <w:left w:val="nil"/>
                <w:bottom w:val="nil"/>
                <w:right w:val="nil"/>
                <w:between w:val="nil"/>
              </w:pBdr>
              <w:ind w:left="1080"/>
              <w:jc w:val="both"/>
              <w:rPr>
                <w:color w:val="000000"/>
              </w:rPr>
            </w:pPr>
          </w:p>
        </w:tc>
        <w:tc>
          <w:tcPr>
            <w:tcW w:w="1260" w:type="dxa"/>
          </w:tcPr>
          <w:p w14:paraId="598F2A99" w14:textId="77777777" w:rsidR="00CC6F4F" w:rsidRDefault="00CC6F4F">
            <w:pPr>
              <w:jc w:val="both"/>
              <w:rPr>
                <w:b/>
              </w:rPr>
            </w:pPr>
          </w:p>
        </w:tc>
        <w:tc>
          <w:tcPr>
            <w:tcW w:w="1080" w:type="dxa"/>
          </w:tcPr>
          <w:p w14:paraId="598F2A9A" w14:textId="77777777" w:rsidR="00CC6F4F" w:rsidRDefault="00CC6F4F">
            <w:pPr>
              <w:jc w:val="both"/>
            </w:pPr>
          </w:p>
        </w:tc>
        <w:tc>
          <w:tcPr>
            <w:tcW w:w="990" w:type="dxa"/>
          </w:tcPr>
          <w:p w14:paraId="598F2A9B" w14:textId="77777777" w:rsidR="00CC6F4F" w:rsidRDefault="00CC6F4F">
            <w:pPr>
              <w:jc w:val="both"/>
            </w:pPr>
          </w:p>
        </w:tc>
        <w:tc>
          <w:tcPr>
            <w:tcW w:w="900" w:type="dxa"/>
          </w:tcPr>
          <w:p w14:paraId="598F2A9C" w14:textId="77777777" w:rsidR="00CC6F4F" w:rsidRDefault="00CC6F4F">
            <w:pPr>
              <w:jc w:val="both"/>
            </w:pPr>
          </w:p>
        </w:tc>
        <w:tc>
          <w:tcPr>
            <w:tcW w:w="990" w:type="dxa"/>
          </w:tcPr>
          <w:p w14:paraId="598F2A9D" w14:textId="77777777" w:rsidR="00CC6F4F" w:rsidRDefault="00CC6F4F">
            <w:pPr>
              <w:jc w:val="both"/>
            </w:pPr>
          </w:p>
        </w:tc>
        <w:tc>
          <w:tcPr>
            <w:tcW w:w="1767" w:type="dxa"/>
          </w:tcPr>
          <w:p w14:paraId="598F2A9E" w14:textId="77777777" w:rsidR="00CC6F4F" w:rsidRDefault="00CC6F4F">
            <w:pPr>
              <w:pBdr>
                <w:top w:val="nil"/>
                <w:left w:val="nil"/>
                <w:bottom w:val="nil"/>
                <w:right w:val="nil"/>
                <w:between w:val="nil"/>
              </w:pBdr>
              <w:jc w:val="both"/>
              <w:rPr>
                <w:b/>
                <w:color w:val="000000"/>
              </w:rPr>
            </w:pPr>
          </w:p>
        </w:tc>
      </w:tr>
      <w:tr w:rsidR="00CC6F4F" w14:paraId="598F2AA8" w14:textId="77777777">
        <w:trPr>
          <w:trHeight w:val="385"/>
        </w:trPr>
        <w:tc>
          <w:tcPr>
            <w:tcW w:w="3750" w:type="dxa"/>
            <w:vAlign w:val="center"/>
          </w:tcPr>
          <w:p w14:paraId="598F2AA0" w14:textId="77777777" w:rsidR="00CC6F4F" w:rsidRDefault="00A35062">
            <w:pPr>
              <w:numPr>
                <w:ilvl w:val="0"/>
                <w:numId w:val="16"/>
              </w:numPr>
              <w:pBdr>
                <w:top w:val="nil"/>
                <w:left w:val="nil"/>
                <w:bottom w:val="nil"/>
                <w:right w:val="nil"/>
                <w:between w:val="nil"/>
              </w:pBdr>
              <w:jc w:val="both"/>
              <w:rPr>
                <w:color w:val="000000"/>
              </w:rPr>
            </w:pPr>
            <w:r>
              <w:rPr>
                <w:color w:val="000000"/>
              </w:rPr>
              <w:t xml:space="preserve">alte tipuri de venituri  </w:t>
            </w:r>
          </w:p>
          <w:p w14:paraId="598F2AA1" w14:textId="77777777" w:rsidR="00CC6F4F" w:rsidRDefault="00CC6F4F">
            <w:pPr>
              <w:pBdr>
                <w:top w:val="nil"/>
                <w:left w:val="nil"/>
                <w:bottom w:val="nil"/>
                <w:right w:val="nil"/>
                <w:between w:val="nil"/>
              </w:pBdr>
              <w:ind w:left="720"/>
              <w:jc w:val="both"/>
              <w:rPr>
                <w:color w:val="000000"/>
              </w:rPr>
            </w:pPr>
          </w:p>
        </w:tc>
        <w:tc>
          <w:tcPr>
            <w:tcW w:w="1260" w:type="dxa"/>
          </w:tcPr>
          <w:p w14:paraId="598F2AA2" w14:textId="77777777" w:rsidR="00CC6F4F" w:rsidRDefault="00CC6F4F">
            <w:pPr>
              <w:jc w:val="both"/>
              <w:rPr>
                <w:b/>
              </w:rPr>
            </w:pPr>
          </w:p>
        </w:tc>
        <w:tc>
          <w:tcPr>
            <w:tcW w:w="1080" w:type="dxa"/>
          </w:tcPr>
          <w:p w14:paraId="598F2AA3" w14:textId="77777777" w:rsidR="00CC6F4F" w:rsidRDefault="00CC6F4F">
            <w:pPr>
              <w:jc w:val="both"/>
            </w:pPr>
          </w:p>
        </w:tc>
        <w:tc>
          <w:tcPr>
            <w:tcW w:w="990" w:type="dxa"/>
          </w:tcPr>
          <w:p w14:paraId="598F2AA4" w14:textId="77777777" w:rsidR="00CC6F4F" w:rsidRDefault="00CC6F4F">
            <w:pPr>
              <w:jc w:val="both"/>
            </w:pPr>
          </w:p>
        </w:tc>
        <w:tc>
          <w:tcPr>
            <w:tcW w:w="900" w:type="dxa"/>
          </w:tcPr>
          <w:p w14:paraId="598F2AA5" w14:textId="77777777" w:rsidR="00CC6F4F" w:rsidRDefault="00CC6F4F">
            <w:pPr>
              <w:jc w:val="both"/>
            </w:pPr>
          </w:p>
        </w:tc>
        <w:tc>
          <w:tcPr>
            <w:tcW w:w="990" w:type="dxa"/>
          </w:tcPr>
          <w:p w14:paraId="598F2AA6" w14:textId="77777777" w:rsidR="00CC6F4F" w:rsidRDefault="00CC6F4F">
            <w:pPr>
              <w:jc w:val="both"/>
            </w:pPr>
          </w:p>
        </w:tc>
        <w:tc>
          <w:tcPr>
            <w:tcW w:w="1767" w:type="dxa"/>
          </w:tcPr>
          <w:p w14:paraId="598F2AA7" w14:textId="77777777" w:rsidR="00CC6F4F" w:rsidRDefault="00CC6F4F">
            <w:pPr>
              <w:pBdr>
                <w:top w:val="nil"/>
                <w:left w:val="nil"/>
                <w:bottom w:val="nil"/>
                <w:right w:val="nil"/>
                <w:between w:val="nil"/>
              </w:pBdr>
              <w:jc w:val="both"/>
              <w:rPr>
                <w:b/>
                <w:color w:val="000000"/>
              </w:rPr>
            </w:pPr>
          </w:p>
        </w:tc>
      </w:tr>
      <w:tr w:rsidR="00CC6F4F" w14:paraId="598F2AB3" w14:textId="77777777">
        <w:trPr>
          <w:trHeight w:val="645"/>
        </w:trPr>
        <w:tc>
          <w:tcPr>
            <w:tcW w:w="3750" w:type="dxa"/>
            <w:vAlign w:val="center"/>
          </w:tcPr>
          <w:p w14:paraId="598F2AA9" w14:textId="77777777" w:rsidR="00CC6F4F" w:rsidRDefault="00A35062">
            <w:pPr>
              <w:pBdr>
                <w:top w:val="nil"/>
                <w:left w:val="nil"/>
                <w:bottom w:val="nil"/>
                <w:right w:val="nil"/>
                <w:between w:val="nil"/>
              </w:pBdr>
              <w:jc w:val="both"/>
              <w:rPr>
                <w:color w:val="000000"/>
              </w:rPr>
            </w:pPr>
            <w:r>
              <w:rPr>
                <w:color w:val="000000"/>
              </w:rPr>
              <w:t>4.2.Modificări ale cheltuielilor bugetare, plus/minus, din care:</w:t>
            </w:r>
          </w:p>
          <w:p w14:paraId="598F2AAA" w14:textId="77777777" w:rsidR="00CC6F4F" w:rsidRDefault="00CC6F4F">
            <w:pPr>
              <w:pBdr>
                <w:top w:val="nil"/>
                <w:left w:val="nil"/>
                <w:bottom w:val="nil"/>
                <w:right w:val="nil"/>
                <w:between w:val="nil"/>
              </w:pBdr>
              <w:jc w:val="both"/>
              <w:rPr>
                <w:color w:val="000000"/>
              </w:rPr>
            </w:pPr>
          </w:p>
        </w:tc>
        <w:tc>
          <w:tcPr>
            <w:tcW w:w="1260" w:type="dxa"/>
          </w:tcPr>
          <w:p w14:paraId="598F2AAB" w14:textId="77777777" w:rsidR="00CC6F4F" w:rsidRDefault="00CC6F4F">
            <w:pPr>
              <w:jc w:val="both"/>
              <w:rPr>
                <w:b/>
              </w:rPr>
            </w:pPr>
          </w:p>
        </w:tc>
        <w:tc>
          <w:tcPr>
            <w:tcW w:w="1080" w:type="dxa"/>
          </w:tcPr>
          <w:p w14:paraId="598F2AAC" w14:textId="77777777" w:rsidR="00CC6F4F" w:rsidRDefault="00CC6F4F">
            <w:pPr>
              <w:jc w:val="both"/>
            </w:pPr>
          </w:p>
          <w:p w14:paraId="598F2AAD" w14:textId="77777777" w:rsidR="00CC6F4F" w:rsidRDefault="00CC6F4F">
            <w:pPr>
              <w:jc w:val="both"/>
            </w:pPr>
          </w:p>
        </w:tc>
        <w:tc>
          <w:tcPr>
            <w:tcW w:w="990" w:type="dxa"/>
          </w:tcPr>
          <w:p w14:paraId="598F2AAE" w14:textId="77777777" w:rsidR="00CC6F4F" w:rsidRDefault="00CC6F4F">
            <w:pPr>
              <w:jc w:val="both"/>
            </w:pPr>
          </w:p>
          <w:p w14:paraId="598F2AAF" w14:textId="77777777" w:rsidR="00CC6F4F" w:rsidRDefault="00CC6F4F">
            <w:pPr>
              <w:jc w:val="both"/>
            </w:pPr>
          </w:p>
        </w:tc>
        <w:tc>
          <w:tcPr>
            <w:tcW w:w="900" w:type="dxa"/>
          </w:tcPr>
          <w:p w14:paraId="598F2AB0" w14:textId="77777777" w:rsidR="00CC6F4F" w:rsidRDefault="00CC6F4F">
            <w:pPr>
              <w:jc w:val="both"/>
            </w:pPr>
          </w:p>
        </w:tc>
        <w:tc>
          <w:tcPr>
            <w:tcW w:w="990" w:type="dxa"/>
          </w:tcPr>
          <w:p w14:paraId="598F2AB1" w14:textId="77777777" w:rsidR="00CC6F4F" w:rsidRDefault="00CC6F4F">
            <w:pPr>
              <w:jc w:val="both"/>
            </w:pPr>
          </w:p>
        </w:tc>
        <w:tc>
          <w:tcPr>
            <w:tcW w:w="1767" w:type="dxa"/>
          </w:tcPr>
          <w:p w14:paraId="598F2AB2" w14:textId="77777777" w:rsidR="00CC6F4F" w:rsidRDefault="00CC6F4F">
            <w:pPr>
              <w:pBdr>
                <w:top w:val="nil"/>
                <w:left w:val="nil"/>
                <w:bottom w:val="nil"/>
                <w:right w:val="nil"/>
                <w:between w:val="nil"/>
              </w:pBdr>
              <w:jc w:val="both"/>
              <w:rPr>
                <w:b/>
                <w:color w:val="000000"/>
              </w:rPr>
            </w:pPr>
          </w:p>
        </w:tc>
      </w:tr>
      <w:tr w:rsidR="00CC6F4F" w14:paraId="598F2ABC" w14:textId="77777777">
        <w:trPr>
          <w:trHeight w:val="349"/>
        </w:trPr>
        <w:tc>
          <w:tcPr>
            <w:tcW w:w="3750" w:type="dxa"/>
            <w:vAlign w:val="center"/>
          </w:tcPr>
          <w:p w14:paraId="598F2AB4" w14:textId="77777777" w:rsidR="00CC6F4F" w:rsidRDefault="00A35062">
            <w:pPr>
              <w:numPr>
                <w:ilvl w:val="0"/>
                <w:numId w:val="4"/>
              </w:numPr>
              <w:pBdr>
                <w:top w:val="nil"/>
                <w:left w:val="nil"/>
                <w:bottom w:val="nil"/>
                <w:right w:val="nil"/>
                <w:between w:val="nil"/>
              </w:pBdr>
              <w:jc w:val="both"/>
            </w:pPr>
            <w:r>
              <w:rPr>
                <w:color w:val="000000"/>
              </w:rPr>
              <w:t>buget de stat, din acesta:</w:t>
            </w:r>
          </w:p>
          <w:p w14:paraId="598F2AB5" w14:textId="77777777" w:rsidR="00CC6F4F" w:rsidRDefault="00CC6F4F">
            <w:pPr>
              <w:pBdr>
                <w:top w:val="nil"/>
                <w:left w:val="nil"/>
                <w:bottom w:val="nil"/>
                <w:right w:val="nil"/>
                <w:between w:val="nil"/>
              </w:pBdr>
              <w:ind w:left="720"/>
              <w:jc w:val="both"/>
              <w:rPr>
                <w:color w:val="000000"/>
              </w:rPr>
            </w:pPr>
          </w:p>
        </w:tc>
        <w:tc>
          <w:tcPr>
            <w:tcW w:w="1260" w:type="dxa"/>
          </w:tcPr>
          <w:p w14:paraId="598F2AB6" w14:textId="77777777" w:rsidR="00CC6F4F" w:rsidRDefault="00CC6F4F">
            <w:pPr>
              <w:jc w:val="both"/>
            </w:pPr>
          </w:p>
        </w:tc>
        <w:tc>
          <w:tcPr>
            <w:tcW w:w="1080" w:type="dxa"/>
          </w:tcPr>
          <w:p w14:paraId="598F2AB7" w14:textId="77777777" w:rsidR="00CC6F4F" w:rsidRDefault="00CC6F4F">
            <w:pPr>
              <w:jc w:val="both"/>
            </w:pPr>
          </w:p>
        </w:tc>
        <w:tc>
          <w:tcPr>
            <w:tcW w:w="990" w:type="dxa"/>
          </w:tcPr>
          <w:p w14:paraId="598F2AB8" w14:textId="77777777" w:rsidR="00CC6F4F" w:rsidRDefault="00CC6F4F">
            <w:pPr>
              <w:jc w:val="both"/>
            </w:pPr>
          </w:p>
        </w:tc>
        <w:tc>
          <w:tcPr>
            <w:tcW w:w="900" w:type="dxa"/>
          </w:tcPr>
          <w:p w14:paraId="598F2AB9" w14:textId="77777777" w:rsidR="00CC6F4F" w:rsidRDefault="00CC6F4F">
            <w:pPr>
              <w:jc w:val="both"/>
            </w:pPr>
          </w:p>
        </w:tc>
        <w:tc>
          <w:tcPr>
            <w:tcW w:w="990" w:type="dxa"/>
          </w:tcPr>
          <w:p w14:paraId="598F2ABA" w14:textId="77777777" w:rsidR="00CC6F4F" w:rsidRDefault="00CC6F4F">
            <w:pPr>
              <w:jc w:val="both"/>
            </w:pPr>
          </w:p>
        </w:tc>
        <w:tc>
          <w:tcPr>
            <w:tcW w:w="1767" w:type="dxa"/>
          </w:tcPr>
          <w:p w14:paraId="598F2ABB" w14:textId="77777777" w:rsidR="00CC6F4F" w:rsidRDefault="00CC6F4F">
            <w:pPr>
              <w:jc w:val="both"/>
              <w:rPr>
                <w:b/>
              </w:rPr>
            </w:pPr>
          </w:p>
        </w:tc>
      </w:tr>
      <w:tr w:rsidR="00CC6F4F" w14:paraId="598F2AC5" w14:textId="77777777">
        <w:trPr>
          <w:trHeight w:val="433"/>
        </w:trPr>
        <w:tc>
          <w:tcPr>
            <w:tcW w:w="3750" w:type="dxa"/>
            <w:vAlign w:val="center"/>
          </w:tcPr>
          <w:p w14:paraId="598F2ABD" w14:textId="77777777" w:rsidR="00CC6F4F" w:rsidRDefault="00A35062">
            <w:pPr>
              <w:numPr>
                <w:ilvl w:val="0"/>
                <w:numId w:val="6"/>
              </w:numPr>
              <w:pBdr>
                <w:top w:val="nil"/>
                <w:left w:val="nil"/>
                <w:bottom w:val="nil"/>
                <w:right w:val="nil"/>
                <w:between w:val="nil"/>
              </w:pBdr>
              <w:jc w:val="both"/>
            </w:pPr>
            <w:r>
              <w:rPr>
                <w:color w:val="000000"/>
              </w:rPr>
              <w:t>cheltuieli de personal</w:t>
            </w:r>
          </w:p>
          <w:p w14:paraId="598F2ABE" w14:textId="77777777" w:rsidR="00CC6F4F" w:rsidRDefault="00CC6F4F">
            <w:pPr>
              <w:pBdr>
                <w:top w:val="nil"/>
                <w:left w:val="nil"/>
                <w:bottom w:val="nil"/>
                <w:right w:val="nil"/>
                <w:between w:val="nil"/>
              </w:pBdr>
              <w:ind w:left="1080"/>
              <w:jc w:val="both"/>
              <w:rPr>
                <w:color w:val="000000"/>
              </w:rPr>
            </w:pPr>
          </w:p>
        </w:tc>
        <w:tc>
          <w:tcPr>
            <w:tcW w:w="1260" w:type="dxa"/>
          </w:tcPr>
          <w:p w14:paraId="598F2ABF" w14:textId="77777777" w:rsidR="00CC6F4F" w:rsidRDefault="00CC6F4F">
            <w:pPr>
              <w:jc w:val="both"/>
            </w:pPr>
          </w:p>
        </w:tc>
        <w:tc>
          <w:tcPr>
            <w:tcW w:w="1080" w:type="dxa"/>
          </w:tcPr>
          <w:p w14:paraId="598F2AC0" w14:textId="77777777" w:rsidR="00CC6F4F" w:rsidRDefault="00CC6F4F">
            <w:pPr>
              <w:jc w:val="both"/>
            </w:pPr>
          </w:p>
        </w:tc>
        <w:tc>
          <w:tcPr>
            <w:tcW w:w="990" w:type="dxa"/>
          </w:tcPr>
          <w:p w14:paraId="598F2AC1" w14:textId="77777777" w:rsidR="00CC6F4F" w:rsidRDefault="00CC6F4F">
            <w:pPr>
              <w:jc w:val="both"/>
            </w:pPr>
          </w:p>
        </w:tc>
        <w:tc>
          <w:tcPr>
            <w:tcW w:w="900" w:type="dxa"/>
          </w:tcPr>
          <w:p w14:paraId="598F2AC2" w14:textId="77777777" w:rsidR="00CC6F4F" w:rsidRDefault="00CC6F4F">
            <w:pPr>
              <w:jc w:val="both"/>
            </w:pPr>
          </w:p>
        </w:tc>
        <w:tc>
          <w:tcPr>
            <w:tcW w:w="990" w:type="dxa"/>
          </w:tcPr>
          <w:p w14:paraId="598F2AC3" w14:textId="77777777" w:rsidR="00CC6F4F" w:rsidRDefault="00CC6F4F">
            <w:pPr>
              <w:jc w:val="both"/>
            </w:pPr>
          </w:p>
        </w:tc>
        <w:tc>
          <w:tcPr>
            <w:tcW w:w="1767" w:type="dxa"/>
          </w:tcPr>
          <w:p w14:paraId="598F2AC4" w14:textId="77777777" w:rsidR="00CC6F4F" w:rsidRDefault="00CC6F4F">
            <w:pPr>
              <w:jc w:val="both"/>
              <w:rPr>
                <w:b/>
              </w:rPr>
            </w:pPr>
          </w:p>
        </w:tc>
      </w:tr>
      <w:tr w:rsidR="00CC6F4F" w14:paraId="598F2ACE" w14:textId="77777777">
        <w:trPr>
          <w:trHeight w:val="340"/>
        </w:trPr>
        <w:tc>
          <w:tcPr>
            <w:tcW w:w="3750" w:type="dxa"/>
            <w:vAlign w:val="center"/>
          </w:tcPr>
          <w:p w14:paraId="598F2AC6" w14:textId="77777777" w:rsidR="00CC6F4F" w:rsidRDefault="00A35062">
            <w:pPr>
              <w:numPr>
                <w:ilvl w:val="0"/>
                <w:numId w:val="6"/>
              </w:numPr>
              <w:pBdr>
                <w:top w:val="nil"/>
                <w:left w:val="nil"/>
                <w:bottom w:val="nil"/>
                <w:right w:val="nil"/>
                <w:between w:val="nil"/>
              </w:pBdr>
              <w:jc w:val="both"/>
            </w:pPr>
            <w:r>
              <w:rPr>
                <w:color w:val="000000"/>
              </w:rPr>
              <w:t>bunuri si servicii</w:t>
            </w:r>
          </w:p>
          <w:p w14:paraId="598F2AC7" w14:textId="77777777" w:rsidR="00CC6F4F" w:rsidRDefault="00CC6F4F">
            <w:pPr>
              <w:pBdr>
                <w:top w:val="nil"/>
                <w:left w:val="nil"/>
                <w:bottom w:val="nil"/>
                <w:right w:val="nil"/>
                <w:between w:val="nil"/>
              </w:pBdr>
              <w:ind w:left="1080"/>
              <w:jc w:val="both"/>
              <w:rPr>
                <w:color w:val="000000"/>
              </w:rPr>
            </w:pPr>
          </w:p>
        </w:tc>
        <w:tc>
          <w:tcPr>
            <w:tcW w:w="1260" w:type="dxa"/>
          </w:tcPr>
          <w:p w14:paraId="598F2AC8" w14:textId="77777777" w:rsidR="00CC6F4F" w:rsidRDefault="00CC6F4F">
            <w:pPr>
              <w:jc w:val="both"/>
            </w:pPr>
          </w:p>
        </w:tc>
        <w:tc>
          <w:tcPr>
            <w:tcW w:w="1080" w:type="dxa"/>
          </w:tcPr>
          <w:p w14:paraId="598F2AC9" w14:textId="77777777" w:rsidR="00CC6F4F" w:rsidRDefault="00CC6F4F">
            <w:pPr>
              <w:jc w:val="both"/>
            </w:pPr>
          </w:p>
        </w:tc>
        <w:tc>
          <w:tcPr>
            <w:tcW w:w="990" w:type="dxa"/>
          </w:tcPr>
          <w:p w14:paraId="598F2ACA" w14:textId="77777777" w:rsidR="00CC6F4F" w:rsidRDefault="00CC6F4F">
            <w:pPr>
              <w:jc w:val="both"/>
            </w:pPr>
          </w:p>
        </w:tc>
        <w:tc>
          <w:tcPr>
            <w:tcW w:w="900" w:type="dxa"/>
          </w:tcPr>
          <w:p w14:paraId="598F2ACB" w14:textId="77777777" w:rsidR="00CC6F4F" w:rsidRDefault="00CC6F4F">
            <w:pPr>
              <w:jc w:val="both"/>
            </w:pPr>
          </w:p>
        </w:tc>
        <w:tc>
          <w:tcPr>
            <w:tcW w:w="990" w:type="dxa"/>
          </w:tcPr>
          <w:p w14:paraId="598F2ACC" w14:textId="77777777" w:rsidR="00CC6F4F" w:rsidRDefault="00CC6F4F">
            <w:pPr>
              <w:jc w:val="both"/>
            </w:pPr>
          </w:p>
        </w:tc>
        <w:tc>
          <w:tcPr>
            <w:tcW w:w="1767" w:type="dxa"/>
          </w:tcPr>
          <w:p w14:paraId="598F2ACD" w14:textId="77777777" w:rsidR="00CC6F4F" w:rsidRDefault="00CC6F4F">
            <w:pPr>
              <w:jc w:val="both"/>
              <w:rPr>
                <w:b/>
              </w:rPr>
            </w:pPr>
          </w:p>
        </w:tc>
      </w:tr>
      <w:tr w:rsidR="00CC6F4F" w14:paraId="598F2AD7" w14:textId="77777777">
        <w:trPr>
          <w:trHeight w:val="347"/>
        </w:trPr>
        <w:tc>
          <w:tcPr>
            <w:tcW w:w="3750" w:type="dxa"/>
            <w:vAlign w:val="center"/>
          </w:tcPr>
          <w:p w14:paraId="598F2ACF" w14:textId="77777777" w:rsidR="00CC6F4F" w:rsidRDefault="00A35062">
            <w:pPr>
              <w:numPr>
                <w:ilvl w:val="0"/>
                <w:numId w:val="4"/>
              </w:numPr>
              <w:pBdr>
                <w:top w:val="nil"/>
                <w:left w:val="nil"/>
                <w:bottom w:val="nil"/>
                <w:right w:val="nil"/>
                <w:between w:val="nil"/>
              </w:pBdr>
              <w:jc w:val="both"/>
            </w:pPr>
            <w:r>
              <w:rPr>
                <w:color w:val="000000"/>
              </w:rPr>
              <w:t>bugete locale:</w:t>
            </w:r>
          </w:p>
          <w:p w14:paraId="598F2AD0" w14:textId="77777777" w:rsidR="00CC6F4F" w:rsidRDefault="00CC6F4F">
            <w:pPr>
              <w:pBdr>
                <w:top w:val="nil"/>
                <w:left w:val="nil"/>
                <w:bottom w:val="nil"/>
                <w:right w:val="nil"/>
                <w:between w:val="nil"/>
              </w:pBdr>
              <w:ind w:left="720"/>
              <w:jc w:val="both"/>
              <w:rPr>
                <w:color w:val="000000"/>
              </w:rPr>
            </w:pPr>
          </w:p>
        </w:tc>
        <w:tc>
          <w:tcPr>
            <w:tcW w:w="1260" w:type="dxa"/>
          </w:tcPr>
          <w:p w14:paraId="598F2AD1" w14:textId="77777777" w:rsidR="00CC6F4F" w:rsidRDefault="00CC6F4F">
            <w:pPr>
              <w:jc w:val="both"/>
            </w:pPr>
          </w:p>
        </w:tc>
        <w:tc>
          <w:tcPr>
            <w:tcW w:w="1080" w:type="dxa"/>
          </w:tcPr>
          <w:p w14:paraId="598F2AD2" w14:textId="77777777" w:rsidR="00CC6F4F" w:rsidRDefault="00CC6F4F">
            <w:pPr>
              <w:jc w:val="both"/>
            </w:pPr>
          </w:p>
        </w:tc>
        <w:tc>
          <w:tcPr>
            <w:tcW w:w="990" w:type="dxa"/>
          </w:tcPr>
          <w:p w14:paraId="598F2AD3" w14:textId="77777777" w:rsidR="00CC6F4F" w:rsidRDefault="00CC6F4F">
            <w:pPr>
              <w:jc w:val="both"/>
            </w:pPr>
          </w:p>
        </w:tc>
        <w:tc>
          <w:tcPr>
            <w:tcW w:w="900" w:type="dxa"/>
          </w:tcPr>
          <w:p w14:paraId="598F2AD4" w14:textId="77777777" w:rsidR="00CC6F4F" w:rsidRDefault="00CC6F4F">
            <w:pPr>
              <w:jc w:val="both"/>
            </w:pPr>
          </w:p>
        </w:tc>
        <w:tc>
          <w:tcPr>
            <w:tcW w:w="990" w:type="dxa"/>
          </w:tcPr>
          <w:p w14:paraId="598F2AD5" w14:textId="77777777" w:rsidR="00CC6F4F" w:rsidRDefault="00CC6F4F">
            <w:pPr>
              <w:jc w:val="both"/>
            </w:pPr>
          </w:p>
        </w:tc>
        <w:tc>
          <w:tcPr>
            <w:tcW w:w="1767" w:type="dxa"/>
          </w:tcPr>
          <w:p w14:paraId="598F2AD6" w14:textId="77777777" w:rsidR="00CC6F4F" w:rsidRDefault="00CC6F4F">
            <w:pPr>
              <w:jc w:val="both"/>
              <w:rPr>
                <w:b/>
              </w:rPr>
            </w:pPr>
          </w:p>
        </w:tc>
      </w:tr>
      <w:tr w:rsidR="00CC6F4F" w14:paraId="598F2AE0" w14:textId="77777777">
        <w:trPr>
          <w:trHeight w:val="341"/>
        </w:trPr>
        <w:tc>
          <w:tcPr>
            <w:tcW w:w="3750" w:type="dxa"/>
            <w:vAlign w:val="center"/>
          </w:tcPr>
          <w:p w14:paraId="598F2AD8" w14:textId="77777777" w:rsidR="00CC6F4F" w:rsidRDefault="00A35062">
            <w:pPr>
              <w:numPr>
                <w:ilvl w:val="0"/>
                <w:numId w:val="8"/>
              </w:numPr>
              <w:pBdr>
                <w:top w:val="nil"/>
                <w:left w:val="nil"/>
                <w:bottom w:val="nil"/>
                <w:right w:val="nil"/>
                <w:between w:val="nil"/>
              </w:pBdr>
              <w:jc w:val="both"/>
            </w:pPr>
            <w:r>
              <w:rPr>
                <w:color w:val="000000"/>
              </w:rPr>
              <w:t>cheltuieli de personal</w:t>
            </w:r>
          </w:p>
          <w:p w14:paraId="598F2AD9" w14:textId="77777777" w:rsidR="00CC6F4F" w:rsidRDefault="00CC6F4F">
            <w:pPr>
              <w:pBdr>
                <w:top w:val="nil"/>
                <w:left w:val="nil"/>
                <w:bottom w:val="nil"/>
                <w:right w:val="nil"/>
                <w:between w:val="nil"/>
              </w:pBdr>
              <w:ind w:left="1080"/>
              <w:jc w:val="both"/>
              <w:rPr>
                <w:color w:val="000000"/>
              </w:rPr>
            </w:pPr>
          </w:p>
        </w:tc>
        <w:tc>
          <w:tcPr>
            <w:tcW w:w="1260" w:type="dxa"/>
          </w:tcPr>
          <w:p w14:paraId="598F2ADA" w14:textId="77777777" w:rsidR="00CC6F4F" w:rsidRDefault="00CC6F4F">
            <w:pPr>
              <w:jc w:val="both"/>
            </w:pPr>
          </w:p>
        </w:tc>
        <w:tc>
          <w:tcPr>
            <w:tcW w:w="1080" w:type="dxa"/>
          </w:tcPr>
          <w:p w14:paraId="598F2ADB" w14:textId="77777777" w:rsidR="00CC6F4F" w:rsidRDefault="00CC6F4F">
            <w:pPr>
              <w:jc w:val="both"/>
            </w:pPr>
          </w:p>
        </w:tc>
        <w:tc>
          <w:tcPr>
            <w:tcW w:w="990" w:type="dxa"/>
          </w:tcPr>
          <w:p w14:paraId="598F2ADC" w14:textId="77777777" w:rsidR="00CC6F4F" w:rsidRDefault="00CC6F4F">
            <w:pPr>
              <w:jc w:val="both"/>
            </w:pPr>
          </w:p>
        </w:tc>
        <w:tc>
          <w:tcPr>
            <w:tcW w:w="900" w:type="dxa"/>
          </w:tcPr>
          <w:p w14:paraId="598F2ADD" w14:textId="77777777" w:rsidR="00CC6F4F" w:rsidRDefault="00CC6F4F">
            <w:pPr>
              <w:jc w:val="both"/>
            </w:pPr>
          </w:p>
        </w:tc>
        <w:tc>
          <w:tcPr>
            <w:tcW w:w="990" w:type="dxa"/>
          </w:tcPr>
          <w:p w14:paraId="598F2ADE" w14:textId="77777777" w:rsidR="00CC6F4F" w:rsidRDefault="00CC6F4F">
            <w:pPr>
              <w:jc w:val="both"/>
            </w:pPr>
          </w:p>
        </w:tc>
        <w:tc>
          <w:tcPr>
            <w:tcW w:w="1767" w:type="dxa"/>
          </w:tcPr>
          <w:p w14:paraId="598F2ADF" w14:textId="77777777" w:rsidR="00CC6F4F" w:rsidRDefault="00CC6F4F">
            <w:pPr>
              <w:jc w:val="both"/>
              <w:rPr>
                <w:b/>
              </w:rPr>
            </w:pPr>
          </w:p>
        </w:tc>
      </w:tr>
      <w:tr w:rsidR="00CC6F4F" w14:paraId="598F2AE9" w14:textId="77777777">
        <w:trPr>
          <w:trHeight w:val="349"/>
        </w:trPr>
        <w:tc>
          <w:tcPr>
            <w:tcW w:w="3750" w:type="dxa"/>
            <w:vAlign w:val="center"/>
          </w:tcPr>
          <w:p w14:paraId="598F2AE1" w14:textId="77777777" w:rsidR="00CC6F4F" w:rsidRDefault="00A35062">
            <w:pPr>
              <w:numPr>
                <w:ilvl w:val="0"/>
                <w:numId w:val="8"/>
              </w:numPr>
              <w:pBdr>
                <w:top w:val="nil"/>
                <w:left w:val="nil"/>
                <w:bottom w:val="nil"/>
                <w:right w:val="nil"/>
                <w:between w:val="nil"/>
              </w:pBdr>
              <w:jc w:val="both"/>
            </w:pPr>
            <w:r>
              <w:rPr>
                <w:color w:val="000000"/>
              </w:rPr>
              <w:t>bunuri și servicii</w:t>
            </w:r>
          </w:p>
          <w:p w14:paraId="598F2AE2" w14:textId="77777777" w:rsidR="00CC6F4F" w:rsidRDefault="00CC6F4F">
            <w:pPr>
              <w:pBdr>
                <w:top w:val="nil"/>
                <w:left w:val="nil"/>
                <w:bottom w:val="nil"/>
                <w:right w:val="nil"/>
                <w:between w:val="nil"/>
              </w:pBdr>
              <w:ind w:left="1080"/>
              <w:jc w:val="both"/>
              <w:rPr>
                <w:color w:val="000000"/>
              </w:rPr>
            </w:pPr>
          </w:p>
        </w:tc>
        <w:tc>
          <w:tcPr>
            <w:tcW w:w="1260" w:type="dxa"/>
          </w:tcPr>
          <w:p w14:paraId="598F2AE3" w14:textId="77777777" w:rsidR="00CC6F4F" w:rsidRDefault="00CC6F4F">
            <w:pPr>
              <w:jc w:val="both"/>
            </w:pPr>
          </w:p>
        </w:tc>
        <w:tc>
          <w:tcPr>
            <w:tcW w:w="1080" w:type="dxa"/>
          </w:tcPr>
          <w:p w14:paraId="598F2AE4" w14:textId="77777777" w:rsidR="00CC6F4F" w:rsidRDefault="00CC6F4F">
            <w:pPr>
              <w:jc w:val="both"/>
            </w:pPr>
          </w:p>
        </w:tc>
        <w:tc>
          <w:tcPr>
            <w:tcW w:w="990" w:type="dxa"/>
          </w:tcPr>
          <w:p w14:paraId="598F2AE5" w14:textId="77777777" w:rsidR="00CC6F4F" w:rsidRDefault="00CC6F4F">
            <w:pPr>
              <w:jc w:val="both"/>
            </w:pPr>
          </w:p>
        </w:tc>
        <w:tc>
          <w:tcPr>
            <w:tcW w:w="900" w:type="dxa"/>
          </w:tcPr>
          <w:p w14:paraId="598F2AE6" w14:textId="77777777" w:rsidR="00CC6F4F" w:rsidRDefault="00CC6F4F">
            <w:pPr>
              <w:jc w:val="both"/>
            </w:pPr>
          </w:p>
        </w:tc>
        <w:tc>
          <w:tcPr>
            <w:tcW w:w="990" w:type="dxa"/>
          </w:tcPr>
          <w:p w14:paraId="598F2AE7" w14:textId="77777777" w:rsidR="00CC6F4F" w:rsidRDefault="00CC6F4F">
            <w:pPr>
              <w:jc w:val="both"/>
            </w:pPr>
          </w:p>
        </w:tc>
        <w:tc>
          <w:tcPr>
            <w:tcW w:w="1767" w:type="dxa"/>
          </w:tcPr>
          <w:p w14:paraId="598F2AE8" w14:textId="77777777" w:rsidR="00CC6F4F" w:rsidRDefault="00CC6F4F">
            <w:pPr>
              <w:jc w:val="both"/>
              <w:rPr>
                <w:b/>
              </w:rPr>
            </w:pPr>
          </w:p>
        </w:tc>
      </w:tr>
      <w:tr w:rsidR="00CC6F4F" w14:paraId="598F2AF1" w14:textId="77777777">
        <w:trPr>
          <w:trHeight w:val="470"/>
        </w:trPr>
        <w:tc>
          <w:tcPr>
            <w:tcW w:w="3750" w:type="dxa"/>
            <w:vAlign w:val="center"/>
          </w:tcPr>
          <w:p w14:paraId="598F2AEA" w14:textId="77777777" w:rsidR="00CC6F4F" w:rsidRDefault="00A35062">
            <w:pPr>
              <w:numPr>
                <w:ilvl w:val="0"/>
                <w:numId w:val="4"/>
              </w:numPr>
              <w:pBdr>
                <w:top w:val="nil"/>
                <w:left w:val="nil"/>
                <w:bottom w:val="nil"/>
                <w:right w:val="nil"/>
                <w:between w:val="nil"/>
              </w:pBdr>
              <w:jc w:val="both"/>
            </w:pPr>
            <w:r>
              <w:rPr>
                <w:color w:val="000000"/>
              </w:rPr>
              <w:t>bugetul asigurărilor sociale de stat:</w:t>
            </w:r>
          </w:p>
        </w:tc>
        <w:tc>
          <w:tcPr>
            <w:tcW w:w="1260" w:type="dxa"/>
          </w:tcPr>
          <w:p w14:paraId="598F2AEB" w14:textId="77777777" w:rsidR="00CC6F4F" w:rsidRDefault="00CC6F4F">
            <w:pPr>
              <w:jc w:val="both"/>
            </w:pPr>
          </w:p>
        </w:tc>
        <w:tc>
          <w:tcPr>
            <w:tcW w:w="1080" w:type="dxa"/>
          </w:tcPr>
          <w:p w14:paraId="598F2AEC" w14:textId="77777777" w:rsidR="00CC6F4F" w:rsidRDefault="00CC6F4F">
            <w:pPr>
              <w:jc w:val="both"/>
            </w:pPr>
          </w:p>
        </w:tc>
        <w:tc>
          <w:tcPr>
            <w:tcW w:w="990" w:type="dxa"/>
          </w:tcPr>
          <w:p w14:paraId="598F2AED" w14:textId="77777777" w:rsidR="00CC6F4F" w:rsidRDefault="00CC6F4F">
            <w:pPr>
              <w:jc w:val="both"/>
            </w:pPr>
          </w:p>
        </w:tc>
        <w:tc>
          <w:tcPr>
            <w:tcW w:w="900" w:type="dxa"/>
          </w:tcPr>
          <w:p w14:paraId="598F2AEE" w14:textId="77777777" w:rsidR="00CC6F4F" w:rsidRDefault="00CC6F4F">
            <w:pPr>
              <w:jc w:val="both"/>
            </w:pPr>
          </w:p>
        </w:tc>
        <w:tc>
          <w:tcPr>
            <w:tcW w:w="990" w:type="dxa"/>
          </w:tcPr>
          <w:p w14:paraId="598F2AEF" w14:textId="77777777" w:rsidR="00CC6F4F" w:rsidRDefault="00CC6F4F">
            <w:pPr>
              <w:jc w:val="both"/>
            </w:pPr>
          </w:p>
        </w:tc>
        <w:tc>
          <w:tcPr>
            <w:tcW w:w="1767" w:type="dxa"/>
          </w:tcPr>
          <w:p w14:paraId="598F2AF0" w14:textId="77777777" w:rsidR="00CC6F4F" w:rsidRDefault="00CC6F4F">
            <w:pPr>
              <w:jc w:val="both"/>
              <w:rPr>
                <w:b/>
              </w:rPr>
            </w:pPr>
          </w:p>
        </w:tc>
      </w:tr>
      <w:tr w:rsidR="00CC6F4F" w14:paraId="598F2AFA" w14:textId="77777777">
        <w:trPr>
          <w:trHeight w:val="351"/>
        </w:trPr>
        <w:tc>
          <w:tcPr>
            <w:tcW w:w="3750" w:type="dxa"/>
            <w:vAlign w:val="center"/>
          </w:tcPr>
          <w:p w14:paraId="598F2AF2" w14:textId="77777777" w:rsidR="00CC6F4F" w:rsidRDefault="00A35062">
            <w:pPr>
              <w:numPr>
                <w:ilvl w:val="0"/>
                <w:numId w:val="11"/>
              </w:numPr>
              <w:pBdr>
                <w:top w:val="nil"/>
                <w:left w:val="nil"/>
                <w:bottom w:val="nil"/>
                <w:right w:val="nil"/>
                <w:between w:val="nil"/>
              </w:pBdr>
              <w:jc w:val="both"/>
            </w:pPr>
            <w:r>
              <w:rPr>
                <w:color w:val="000000"/>
              </w:rPr>
              <w:t>cheltuieli de personal</w:t>
            </w:r>
          </w:p>
          <w:p w14:paraId="598F2AF3" w14:textId="77777777" w:rsidR="00CC6F4F" w:rsidRDefault="00CC6F4F">
            <w:pPr>
              <w:pBdr>
                <w:top w:val="nil"/>
                <w:left w:val="nil"/>
                <w:bottom w:val="nil"/>
                <w:right w:val="nil"/>
                <w:between w:val="nil"/>
              </w:pBdr>
              <w:ind w:left="1080"/>
              <w:jc w:val="both"/>
              <w:rPr>
                <w:color w:val="000000"/>
              </w:rPr>
            </w:pPr>
          </w:p>
        </w:tc>
        <w:tc>
          <w:tcPr>
            <w:tcW w:w="1260" w:type="dxa"/>
          </w:tcPr>
          <w:p w14:paraId="598F2AF4" w14:textId="77777777" w:rsidR="00CC6F4F" w:rsidRDefault="00CC6F4F">
            <w:pPr>
              <w:jc w:val="both"/>
            </w:pPr>
          </w:p>
        </w:tc>
        <w:tc>
          <w:tcPr>
            <w:tcW w:w="1080" w:type="dxa"/>
          </w:tcPr>
          <w:p w14:paraId="598F2AF5" w14:textId="77777777" w:rsidR="00CC6F4F" w:rsidRDefault="00CC6F4F">
            <w:pPr>
              <w:jc w:val="both"/>
            </w:pPr>
          </w:p>
        </w:tc>
        <w:tc>
          <w:tcPr>
            <w:tcW w:w="990" w:type="dxa"/>
          </w:tcPr>
          <w:p w14:paraId="598F2AF6" w14:textId="77777777" w:rsidR="00CC6F4F" w:rsidRDefault="00CC6F4F">
            <w:pPr>
              <w:jc w:val="both"/>
            </w:pPr>
          </w:p>
        </w:tc>
        <w:tc>
          <w:tcPr>
            <w:tcW w:w="900" w:type="dxa"/>
          </w:tcPr>
          <w:p w14:paraId="598F2AF7" w14:textId="77777777" w:rsidR="00CC6F4F" w:rsidRDefault="00CC6F4F">
            <w:pPr>
              <w:jc w:val="both"/>
            </w:pPr>
          </w:p>
        </w:tc>
        <w:tc>
          <w:tcPr>
            <w:tcW w:w="990" w:type="dxa"/>
          </w:tcPr>
          <w:p w14:paraId="598F2AF8" w14:textId="77777777" w:rsidR="00CC6F4F" w:rsidRDefault="00CC6F4F">
            <w:pPr>
              <w:jc w:val="both"/>
            </w:pPr>
          </w:p>
        </w:tc>
        <w:tc>
          <w:tcPr>
            <w:tcW w:w="1767" w:type="dxa"/>
          </w:tcPr>
          <w:p w14:paraId="598F2AF9" w14:textId="77777777" w:rsidR="00CC6F4F" w:rsidRDefault="00CC6F4F">
            <w:pPr>
              <w:jc w:val="both"/>
              <w:rPr>
                <w:b/>
              </w:rPr>
            </w:pPr>
          </w:p>
        </w:tc>
      </w:tr>
      <w:tr w:rsidR="00CC6F4F" w14:paraId="598F2B03" w14:textId="77777777">
        <w:trPr>
          <w:trHeight w:val="345"/>
        </w:trPr>
        <w:tc>
          <w:tcPr>
            <w:tcW w:w="3750" w:type="dxa"/>
            <w:vAlign w:val="center"/>
          </w:tcPr>
          <w:p w14:paraId="598F2AFB" w14:textId="77777777" w:rsidR="00CC6F4F" w:rsidRDefault="00A35062">
            <w:pPr>
              <w:numPr>
                <w:ilvl w:val="0"/>
                <w:numId w:val="11"/>
              </w:numPr>
              <w:pBdr>
                <w:top w:val="nil"/>
                <w:left w:val="nil"/>
                <w:bottom w:val="nil"/>
                <w:right w:val="nil"/>
                <w:between w:val="nil"/>
              </w:pBdr>
              <w:jc w:val="both"/>
            </w:pPr>
            <w:r>
              <w:rPr>
                <w:color w:val="000000"/>
              </w:rPr>
              <w:t xml:space="preserve">bunuri și servicii </w:t>
            </w:r>
          </w:p>
          <w:p w14:paraId="598F2AFC" w14:textId="77777777" w:rsidR="00CC6F4F" w:rsidRDefault="00CC6F4F">
            <w:pPr>
              <w:pBdr>
                <w:top w:val="nil"/>
                <w:left w:val="nil"/>
                <w:bottom w:val="nil"/>
                <w:right w:val="nil"/>
                <w:between w:val="nil"/>
              </w:pBdr>
              <w:ind w:left="1080"/>
              <w:jc w:val="both"/>
              <w:rPr>
                <w:color w:val="000000"/>
              </w:rPr>
            </w:pPr>
          </w:p>
        </w:tc>
        <w:tc>
          <w:tcPr>
            <w:tcW w:w="1260" w:type="dxa"/>
          </w:tcPr>
          <w:p w14:paraId="598F2AFD" w14:textId="77777777" w:rsidR="00CC6F4F" w:rsidRDefault="00CC6F4F">
            <w:pPr>
              <w:jc w:val="both"/>
            </w:pPr>
          </w:p>
        </w:tc>
        <w:tc>
          <w:tcPr>
            <w:tcW w:w="1080" w:type="dxa"/>
          </w:tcPr>
          <w:p w14:paraId="598F2AFE" w14:textId="77777777" w:rsidR="00CC6F4F" w:rsidRDefault="00CC6F4F">
            <w:pPr>
              <w:jc w:val="both"/>
            </w:pPr>
          </w:p>
        </w:tc>
        <w:tc>
          <w:tcPr>
            <w:tcW w:w="990" w:type="dxa"/>
          </w:tcPr>
          <w:p w14:paraId="598F2AFF" w14:textId="77777777" w:rsidR="00CC6F4F" w:rsidRDefault="00CC6F4F">
            <w:pPr>
              <w:jc w:val="both"/>
            </w:pPr>
          </w:p>
        </w:tc>
        <w:tc>
          <w:tcPr>
            <w:tcW w:w="900" w:type="dxa"/>
          </w:tcPr>
          <w:p w14:paraId="598F2B00" w14:textId="77777777" w:rsidR="00CC6F4F" w:rsidRDefault="00CC6F4F">
            <w:pPr>
              <w:jc w:val="both"/>
            </w:pPr>
          </w:p>
        </w:tc>
        <w:tc>
          <w:tcPr>
            <w:tcW w:w="990" w:type="dxa"/>
          </w:tcPr>
          <w:p w14:paraId="598F2B01" w14:textId="77777777" w:rsidR="00CC6F4F" w:rsidRDefault="00CC6F4F">
            <w:pPr>
              <w:jc w:val="both"/>
            </w:pPr>
          </w:p>
        </w:tc>
        <w:tc>
          <w:tcPr>
            <w:tcW w:w="1767" w:type="dxa"/>
          </w:tcPr>
          <w:p w14:paraId="598F2B02" w14:textId="77777777" w:rsidR="00CC6F4F" w:rsidRDefault="00CC6F4F">
            <w:pPr>
              <w:jc w:val="both"/>
              <w:rPr>
                <w:b/>
              </w:rPr>
            </w:pPr>
          </w:p>
        </w:tc>
      </w:tr>
      <w:tr w:rsidR="00CC6F4F" w14:paraId="598F2B0C" w14:textId="77777777">
        <w:trPr>
          <w:trHeight w:val="345"/>
        </w:trPr>
        <w:tc>
          <w:tcPr>
            <w:tcW w:w="3750" w:type="dxa"/>
            <w:vAlign w:val="center"/>
          </w:tcPr>
          <w:p w14:paraId="598F2B04" w14:textId="77777777" w:rsidR="00CC6F4F" w:rsidRDefault="00A35062">
            <w:pPr>
              <w:numPr>
                <w:ilvl w:val="0"/>
                <w:numId w:val="4"/>
              </w:numPr>
              <w:pBdr>
                <w:top w:val="nil"/>
                <w:left w:val="nil"/>
                <w:bottom w:val="nil"/>
                <w:right w:val="nil"/>
                <w:between w:val="nil"/>
              </w:pBdr>
              <w:jc w:val="both"/>
            </w:pPr>
            <w:r>
              <w:rPr>
                <w:color w:val="000000"/>
              </w:rPr>
              <w:t>alte tipuri de cheltuieli</w:t>
            </w:r>
          </w:p>
          <w:p w14:paraId="598F2B05" w14:textId="77777777" w:rsidR="00CC6F4F" w:rsidRDefault="00CC6F4F">
            <w:pPr>
              <w:pBdr>
                <w:top w:val="nil"/>
                <w:left w:val="nil"/>
                <w:bottom w:val="nil"/>
                <w:right w:val="nil"/>
                <w:between w:val="nil"/>
              </w:pBdr>
              <w:ind w:left="720"/>
              <w:jc w:val="both"/>
              <w:rPr>
                <w:color w:val="000000"/>
              </w:rPr>
            </w:pPr>
          </w:p>
        </w:tc>
        <w:tc>
          <w:tcPr>
            <w:tcW w:w="1260" w:type="dxa"/>
          </w:tcPr>
          <w:p w14:paraId="598F2B06" w14:textId="77777777" w:rsidR="00CC6F4F" w:rsidRDefault="00CC6F4F">
            <w:pPr>
              <w:jc w:val="both"/>
            </w:pPr>
          </w:p>
        </w:tc>
        <w:tc>
          <w:tcPr>
            <w:tcW w:w="1080" w:type="dxa"/>
          </w:tcPr>
          <w:p w14:paraId="598F2B07" w14:textId="77777777" w:rsidR="00CC6F4F" w:rsidRDefault="00CC6F4F">
            <w:pPr>
              <w:jc w:val="both"/>
            </w:pPr>
          </w:p>
        </w:tc>
        <w:tc>
          <w:tcPr>
            <w:tcW w:w="990" w:type="dxa"/>
          </w:tcPr>
          <w:p w14:paraId="598F2B08" w14:textId="77777777" w:rsidR="00CC6F4F" w:rsidRDefault="00CC6F4F">
            <w:pPr>
              <w:jc w:val="both"/>
            </w:pPr>
          </w:p>
        </w:tc>
        <w:tc>
          <w:tcPr>
            <w:tcW w:w="900" w:type="dxa"/>
          </w:tcPr>
          <w:p w14:paraId="598F2B09" w14:textId="77777777" w:rsidR="00CC6F4F" w:rsidRDefault="00CC6F4F">
            <w:pPr>
              <w:jc w:val="both"/>
            </w:pPr>
          </w:p>
        </w:tc>
        <w:tc>
          <w:tcPr>
            <w:tcW w:w="990" w:type="dxa"/>
          </w:tcPr>
          <w:p w14:paraId="598F2B0A" w14:textId="77777777" w:rsidR="00CC6F4F" w:rsidRDefault="00CC6F4F">
            <w:pPr>
              <w:jc w:val="both"/>
            </w:pPr>
          </w:p>
        </w:tc>
        <w:tc>
          <w:tcPr>
            <w:tcW w:w="1767" w:type="dxa"/>
          </w:tcPr>
          <w:p w14:paraId="598F2B0B" w14:textId="77777777" w:rsidR="00CC6F4F" w:rsidRDefault="00CC6F4F">
            <w:pPr>
              <w:jc w:val="both"/>
              <w:rPr>
                <w:b/>
              </w:rPr>
            </w:pPr>
          </w:p>
        </w:tc>
      </w:tr>
      <w:tr w:rsidR="00CC6F4F" w14:paraId="598F2B17" w14:textId="77777777">
        <w:trPr>
          <w:trHeight w:val="380"/>
        </w:trPr>
        <w:tc>
          <w:tcPr>
            <w:tcW w:w="3750" w:type="dxa"/>
            <w:vAlign w:val="center"/>
          </w:tcPr>
          <w:p w14:paraId="598F2B0D" w14:textId="77777777" w:rsidR="00CC6F4F" w:rsidRDefault="00A35062">
            <w:pPr>
              <w:jc w:val="both"/>
            </w:pPr>
            <w:r>
              <w:t>4.3.Impact financiar, plus/minus, din care:</w:t>
            </w:r>
          </w:p>
          <w:p w14:paraId="598F2B0E" w14:textId="77777777" w:rsidR="00CC6F4F" w:rsidRDefault="00CC6F4F">
            <w:pPr>
              <w:jc w:val="both"/>
            </w:pPr>
          </w:p>
        </w:tc>
        <w:tc>
          <w:tcPr>
            <w:tcW w:w="1260" w:type="dxa"/>
          </w:tcPr>
          <w:p w14:paraId="598F2B0F" w14:textId="77777777" w:rsidR="00CC6F4F" w:rsidRDefault="00CC6F4F">
            <w:pPr>
              <w:jc w:val="both"/>
            </w:pPr>
          </w:p>
        </w:tc>
        <w:tc>
          <w:tcPr>
            <w:tcW w:w="1080" w:type="dxa"/>
          </w:tcPr>
          <w:p w14:paraId="598F2B10" w14:textId="77777777" w:rsidR="00CC6F4F" w:rsidRDefault="00CC6F4F">
            <w:pPr>
              <w:jc w:val="both"/>
            </w:pPr>
          </w:p>
          <w:p w14:paraId="598F2B11" w14:textId="77777777" w:rsidR="00CC6F4F" w:rsidRDefault="00CC6F4F">
            <w:pPr>
              <w:jc w:val="both"/>
            </w:pPr>
          </w:p>
        </w:tc>
        <w:tc>
          <w:tcPr>
            <w:tcW w:w="990" w:type="dxa"/>
          </w:tcPr>
          <w:p w14:paraId="598F2B12" w14:textId="77777777" w:rsidR="00CC6F4F" w:rsidRDefault="00CC6F4F">
            <w:pPr>
              <w:jc w:val="both"/>
            </w:pPr>
          </w:p>
          <w:p w14:paraId="598F2B13" w14:textId="77777777" w:rsidR="00CC6F4F" w:rsidRDefault="00CC6F4F">
            <w:pPr>
              <w:jc w:val="both"/>
            </w:pPr>
          </w:p>
        </w:tc>
        <w:tc>
          <w:tcPr>
            <w:tcW w:w="900" w:type="dxa"/>
          </w:tcPr>
          <w:p w14:paraId="598F2B14" w14:textId="77777777" w:rsidR="00CC6F4F" w:rsidRDefault="00CC6F4F">
            <w:pPr>
              <w:jc w:val="both"/>
            </w:pPr>
          </w:p>
        </w:tc>
        <w:tc>
          <w:tcPr>
            <w:tcW w:w="990" w:type="dxa"/>
          </w:tcPr>
          <w:p w14:paraId="598F2B15" w14:textId="77777777" w:rsidR="00CC6F4F" w:rsidRDefault="00CC6F4F">
            <w:pPr>
              <w:jc w:val="both"/>
            </w:pPr>
          </w:p>
        </w:tc>
        <w:tc>
          <w:tcPr>
            <w:tcW w:w="1767" w:type="dxa"/>
          </w:tcPr>
          <w:p w14:paraId="598F2B16" w14:textId="77777777" w:rsidR="00CC6F4F" w:rsidRDefault="00CC6F4F">
            <w:pPr>
              <w:jc w:val="both"/>
              <w:rPr>
                <w:b/>
              </w:rPr>
            </w:pPr>
          </w:p>
        </w:tc>
      </w:tr>
      <w:tr w:rsidR="00CC6F4F" w14:paraId="598F2B20" w14:textId="77777777">
        <w:trPr>
          <w:trHeight w:val="361"/>
        </w:trPr>
        <w:tc>
          <w:tcPr>
            <w:tcW w:w="3750" w:type="dxa"/>
            <w:vAlign w:val="center"/>
          </w:tcPr>
          <w:p w14:paraId="598F2B18" w14:textId="77777777" w:rsidR="00CC6F4F" w:rsidRDefault="00A35062">
            <w:pPr>
              <w:numPr>
                <w:ilvl w:val="0"/>
                <w:numId w:val="13"/>
              </w:numPr>
              <w:pBdr>
                <w:top w:val="nil"/>
                <w:left w:val="nil"/>
                <w:bottom w:val="nil"/>
                <w:right w:val="nil"/>
                <w:between w:val="nil"/>
              </w:pBdr>
              <w:jc w:val="both"/>
            </w:pPr>
            <w:r>
              <w:rPr>
                <w:color w:val="000000"/>
              </w:rPr>
              <w:t>buget de stat</w:t>
            </w:r>
          </w:p>
          <w:p w14:paraId="598F2B19" w14:textId="77777777" w:rsidR="00CC6F4F" w:rsidRDefault="00CC6F4F">
            <w:pPr>
              <w:pBdr>
                <w:top w:val="nil"/>
                <w:left w:val="nil"/>
                <w:bottom w:val="nil"/>
                <w:right w:val="nil"/>
                <w:between w:val="nil"/>
              </w:pBdr>
              <w:ind w:left="720"/>
              <w:jc w:val="both"/>
              <w:rPr>
                <w:color w:val="000000"/>
              </w:rPr>
            </w:pPr>
          </w:p>
        </w:tc>
        <w:tc>
          <w:tcPr>
            <w:tcW w:w="1260" w:type="dxa"/>
          </w:tcPr>
          <w:p w14:paraId="598F2B1A" w14:textId="77777777" w:rsidR="00CC6F4F" w:rsidRDefault="00CC6F4F">
            <w:pPr>
              <w:jc w:val="both"/>
              <w:rPr>
                <w:b/>
              </w:rPr>
            </w:pPr>
          </w:p>
        </w:tc>
        <w:tc>
          <w:tcPr>
            <w:tcW w:w="1080" w:type="dxa"/>
          </w:tcPr>
          <w:p w14:paraId="598F2B1B" w14:textId="77777777" w:rsidR="00CC6F4F" w:rsidRDefault="00CC6F4F">
            <w:pPr>
              <w:jc w:val="both"/>
              <w:rPr>
                <w:b/>
              </w:rPr>
            </w:pPr>
          </w:p>
        </w:tc>
        <w:tc>
          <w:tcPr>
            <w:tcW w:w="990" w:type="dxa"/>
          </w:tcPr>
          <w:p w14:paraId="598F2B1C" w14:textId="77777777" w:rsidR="00CC6F4F" w:rsidRDefault="00CC6F4F">
            <w:pPr>
              <w:jc w:val="both"/>
              <w:rPr>
                <w:b/>
              </w:rPr>
            </w:pPr>
          </w:p>
        </w:tc>
        <w:tc>
          <w:tcPr>
            <w:tcW w:w="900" w:type="dxa"/>
          </w:tcPr>
          <w:p w14:paraId="598F2B1D" w14:textId="77777777" w:rsidR="00CC6F4F" w:rsidRDefault="00CC6F4F">
            <w:pPr>
              <w:jc w:val="both"/>
              <w:rPr>
                <w:b/>
              </w:rPr>
            </w:pPr>
          </w:p>
        </w:tc>
        <w:tc>
          <w:tcPr>
            <w:tcW w:w="990" w:type="dxa"/>
          </w:tcPr>
          <w:p w14:paraId="598F2B1E" w14:textId="77777777" w:rsidR="00CC6F4F" w:rsidRDefault="00CC6F4F">
            <w:pPr>
              <w:jc w:val="both"/>
              <w:rPr>
                <w:b/>
              </w:rPr>
            </w:pPr>
          </w:p>
        </w:tc>
        <w:tc>
          <w:tcPr>
            <w:tcW w:w="1767" w:type="dxa"/>
          </w:tcPr>
          <w:p w14:paraId="598F2B1F" w14:textId="77777777" w:rsidR="00CC6F4F" w:rsidRDefault="00CC6F4F">
            <w:pPr>
              <w:jc w:val="both"/>
              <w:rPr>
                <w:b/>
              </w:rPr>
            </w:pPr>
          </w:p>
        </w:tc>
      </w:tr>
      <w:tr w:rsidR="00CC6F4F" w14:paraId="598F2B29" w14:textId="77777777">
        <w:trPr>
          <w:trHeight w:val="413"/>
        </w:trPr>
        <w:tc>
          <w:tcPr>
            <w:tcW w:w="3750" w:type="dxa"/>
            <w:vAlign w:val="center"/>
          </w:tcPr>
          <w:p w14:paraId="598F2B21" w14:textId="77777777" w:rsidR="00CC6F4F" w:rsidRDefault="00A35062">
            <w:pPr>
              <w:numPr>
                <w:ilvl w:val="0"/>
                <w:numId w:val="13"/>
              </w:numPr>
              <w:pBdr>
                <w:top w:val="nil"/>
                <w:left w:val="nil"/>
                <w:bottom w:val="nil"/>
                <w:right w:val="nil"/>
                <w:between w:val="nil"/>
              </w:pBdr>
              <w:jc w:val="both"/>
            </w:pPr>
            <w:r>
              <w:rPr>
                <w:color w:val="000000"/>
              </w:rPr>
              <w:t>bugete locale</w:t>
            </w:r>
          </w:p>
          <w:p w14:paraId="598F2B22" w14:textId="77777777" w:rsidR="00CC6F4F" w:rsidRDefault="00CC6F4F">
            <w:pPr>
              <w:pBdr>
                <w:top w:val="nil"/>
                <w:left w:val="nil"/>
                <w:bottom w:val="nil"/>
                <w:right w:val="nil"/>
                <w:between w:val="nil"/>
              </w:pBdr>
              <w:ind w:left="720"/>
              <w:jc w:val="both"/>
              <w:rPr>
                <w:color w:val="000000"/>
              </w:rPr>
            </w:pPr>
          </w:p>
        </w:tc>
        <w:tc>
          <w:tcPr>
            <w:tcW w:w="1260" w:type="dxa"/>
          </w:tcPr>
          <w:p w14:paraId="598F2B23" w14:textId="77777777" w:rsidR="00CC6F4F" w:rsidRDefault="00CC6F4F">
            <w:pPr>
              <w:jc w:val="both"/>
              <w:rPr>
                <w:b/>
              </w:rPr>
            </w:pPr>
          </w:p>
        </w:tc>
        <w:tc>
          <w:tcPr>
            <w:tcW w:w="1080" w:type="dxa"/>
          </w:tcPr>
          <w:p w14:paraId="598F2B24" w14:textId="77777777" w:rsidR="00CC6F4F" w:rsidRDefault="00CC6F4F">
            <w:pPr>
              <w:jc w:val="both"/>
              <w:rPr>
                <w:b/>
              </w:rPr>
            </w:pPr>
          </w:p>
        </w:tc>
        <w:tc>
          <w:tcPr>
            <w:tcW w:w="990" w:type="dxa"/>
          </w:tcPr>
          <w:p w14:paraId="598F2B25" w14:textId="77777777" w:rsidR="00CC6F4F" w:rsidRDefault="00CC6F4F">
            <w:pPr>
              <w:jc w:val="both"/>
              <w:rPr>
                <w:b/>
              </w:rPr>
            </w:pPr>
          </w:p>
        </w:tc>
        <w:tc>
          <w:tcPr>
            <w:tcW w:w="900" w:type="dxa"/>
          </w:tcPr>
          <w:p w14:paraId="598F2B26" w14:textId="77777777" w:rsidR="00CC6F4F" w:rsidRDefault="00CC6F4F">
            <w:pPr>
              <w:jc w:val="both"/>
              <w:rPr>
                <w:b/>
              </w:rPr>
            </w:pPr>
          </w:p>
        </w:tc>
        <w:tc>
          <w:tcPr>
            <w:tcW w:w="990" w:type="dxa"/>
          </w:tcPr>
          <w:p w14:paraId="598F2B27" w14:textId="77777777" w:rsidR="00CC6F4F" w:rsidRDefault="00CC6F4F">
            <w:pPr>
              <w:jc w:val="both"/>
              <w:rPr>
                <w:b/>
              </w:rPr>
            </w:pPr>
          </w:p>
        </w:tc>
        <w:tc>
          <w:tcPr>
            <w:tcW w:w="1767" w:type="dxa"/>
          </w:tcPr>
          <w:p w14:paraId="598F2B28" w14:textId="77777777" w:rsidR="00CC6F4F" w:rsidRDefault="00CC6F4F">
            <w:pPr>
              <w:jc w:val="both"/>
              <w:rPr>
                <w:b/>
              </w:rPr>
            </w:pPr>
          </w:p>
        </w:tc>
      </w:tr>
      <w:tr w:rsidR="00CC6F4F" w14:paraId="598F2B32" w14:textId="77777777">
        <w:trPr>
          <w:trHeight w:val="655"/>
        </w:trPr>
        <w:tc>
          <w:tcPr>
            <w:tcW w:w="3750" w:type="dxa"/>
            <w:vAlign w:val="center"/>
          </w:tcPr>
          <w:p w14:paraId="598F2B2A" w14:textId="77777777" w:rsidR="00CC6F4F" w:rsidRDefault="00A35062">
            <w:pPr>
              <w:jc w:val="both"/>
            </w:pPr>
            <w:r>
              <w:t>4.4.Propuneri pentru acoperirea cresterii cheltuielilor bugetare</w:t>
            </w:r>
          </w:p>
          <w:p w14:paraId="598F2B2B" w14:textId="77777777" w:rsidR="00CC6F4F" w:rsidRDefault="00CC6F4F">
            <w:pPr>
              <w:jc w:val="both"/>
            </w:pPr>
          </w:p>
        </w:tc>
        <w:tc>
          <w:tcPr>
            <w:tcW w:w="1260" w:type="dxa"/>
          </w:tcPr>
          <w:p w14:paraId="598F2B2C" w14:textId="77777777" w:rsidR="00CC6F4F" w:rsidRDefault="00CC6F4F">
            <w:pPr>
              <w:jc w:val="both"/>
              <w:rPr>
                <w:b/>
              </w:rPr>
            </w:pPr>
          </w:p>
        </w:tc>
        <w:tc>
          <w:tcPr>
            <w:tcW w:w="1080" w:type="dxa"/>
          </w:tcPr>
          <w:p w14:paraId="598F2B2D" w14:textId="77777777" w:rsidR="00CC6F4F" w:rsidRDefault="00CC6F4F">
            <w:pPr>
              <w:jc w:val="both"/>
              <w:rPr>
                <w:b/>
              </w:rPr>
            </w:pPr>
          </w:p>
        </w:tc>
        <w:tc>
          <w:tcPr>
            <w:tcW w:w="990" w:type="dxa"/>
          </w:tcPr>
          <w:p w14:paraId="598F2B2E" w14:textId="77777777" w:rsidR="00CC6F4F" w:rsidRDefault="00CC6F4F">
            <w:pPr>
              <w:jc w:val="both"/>
              <w:rPr>
                <w:b/>
              </w:rPr>
            </w:pPr>
          </w:p>
        </w:tc>
        <w:tc>
          <w:tcPr>
            <w:tcW w:w="900" w:type="dxa"/>
          </w:tcPr>
          <w:p w14:paraId="598F2B2F" w14:textId="77777777" w:rsidR="00CC6F4F" w:rsidRDefault="00CC6F4F">
            <w:pPr>
              <w:jc w:val="both"/>
              <w:rPr>
                <w:b/>
              </w:rPr>
            </w:pPr>
          </w:p>
        </w:tc>
        <w:tc>
          <w:tcPr>
            <w:tcW w:w="990" w:type="dxa"/>
          </w:tcPr>
          <w:p w14:paraId="598F2B30" w14:textId="77777777" w:rsidR="00CC6F4F" w:rsidRDefault="00CC6F4F">
            <w:pPr>
              <w:jc w:val="both"/>
              <w:rPr>
                <w:b/>
              </w:rPr>
            </w:pPr>
          </w:p>
        </w:tc>
        <w:tc>
          <w:tcPr>
            <w:tcW w:w="1767" w:type="dxa"/>
          </w:tcPr>
          <w:p w14:paraId="598F2B31" w14:textId="77777777" w:rsidR="00CC6F4F" w:rsidRDefault="00CC6F4F">
            <w:pPr>
              <w:jc w:val="both"/>
              <w:rPr>
                <w:b/>
              </w:rPr>
            </w:pPr>
          </w:p>
        </w:tc>
      </w:tr>
      <w:tr w:rsidR="00CC6F4F" w14:paraId="598F2B3B" w14:textId="77777777">
        <w:trPr>
          <w:trHeight w:val="693"/>
        </w:trPr>
        <w:tc>
          <w:tcPr>
            <w:tcW w:w="3750" w:type="dxa"/>
          </w:tcPr>
          <w:p w14:paraId="598F2B33" w14:textId="77777777" w:rsidR="00CC6F4F" w:rsidRDefault="00A35062">
            <w:pPr>
              <w:jc w:val="both"/>
            </w:pPr>
            <w:r>
              <w:t>4.5.Propuneri pentru a compensa reducerea veniturilor bugetare.</w:t>
            </w:r>
          </w:p>
          <w:p w14:paraId="598F2B34" w14:textId="77777777" w:rsidR="00CC6F4F" w:rsidRDefault="00CC6F4F">
            <w:pPr>
              <w:jc w:val="both"/>
            </w:pPr>
          </w:p>
        </w:tc>
        <w:tc>
          <w:tcPr>
            <w:tcW w:w="1260" w:type="dxa"/>
          </w:tcPr>
          <w:p w14:paraId="598F2B35" w14:textId="77777777" w:rsidR="00CC6F4F" w:rsidRDefault="00CC6F4F">
            <w:pPr>
              <w:jc w:val="both"/>
              <w:rPr>
                <w:b/>
              </w:rPr>
            </w:pPr>
          </w:p>
        </w:tc>
        <w:tc>
          <w:tcPr>
            <w:tcW w:w="1080" w:type="dxa"/>
          </w:tcPr>
          <w:p w14:paraId="598F2B36" w14:textId="77777777" w:rsidR="00CC6F4F" w:rsidRDefault="00CC6F4F">
            <w:pPr>
              <w:jc w:val="both"/>
              <w:rPr>
                <w:b/>
              </w:rPr>
            </w:pPr>
          </w:p>
        </w:tc>
        <w:tc>
          <w:tcPr>
            <w:tcW w:w="990" w:type="dxa"/>
          </w:tcPr>
          <w:p w14:paraId="598F2B37" w14:textId="77777777" w:rsidR="00CC6F4F" w:rsidRDefault="00CC6F4F">
            <w:pPr>
              <w:jc w:val="both"/>
              <w:rPr>
                <w:b/>
              </w:rPr>
            </w:pPr>
          </w:p>
        </w:tc>
        <w:tc>
          <w:tcPr>
            <w:tcW w:w="900" w:type="dxa"/>
          </w:tcPr>
          <w:p w14:paraId="598F2B38" w14:textId="77777777" w:rsidR="00CC6F4F" w:rsidRDefault="00CC6F4F">
            <w:pPr>
              <w:jc w:val="both"/>
              <w:rPr>
                <w:b/>
              </w:rPr>
            </w:pPr>
          </w:p>
        </w:tc>
        <w:tc>
          <w:tcPr>
            <w:tcW w:w="990" w:type="dxa"/>
          </w:tcPr>
          <w:p w14:paraId="598F2B39" w14:textId="77777777" w:rsidR="00CC6F4F" w:rsidRDefault="00CC6F4F">
            <w:pPr>
              <w:jc w:val="both"/>
              <w:rPr>
                <w:b/>
              </w:rPr>
            </w:pPr>
          </w:p>
        </w:tc>
        <w:tc>
          <w:tcPr>
            <w:tcW w:w="1767" w:type="dxa"/>
          </w:tcPr>
          <w:p w14:paraId="598F2B3A" w14:textId="77777777" w:rsidR="00CC6F4F" w:rsidRDefault="00CC6F4F">
            <w:pPr>
              <w:jc w:val="both"/>
              <w:rPr>
                <w:b/>
              </w:rPr>
            </w:pPr>
          </w:p>
        </w:tc>
      </w:tr>
      <w:tr w:rsidR="00CC6F4F" w14:paraId="598F2B47" w14:textId="77777777">
        <w:trPr>
          <w:trHeight w:val="1163"/>
        </w:trPr>
        <w:tc>
          <w:tcPr>
            <w:tcW w:w="3750" w:type="dxa"/>
          </w:tcPr>
          <w:p w14:paraId="598F2B3C" w14:textId="77777777" w:rsidR="00CC6F4F" w:rsidRDefault="00A35062">
            <w:pPr>
              <w:jc w:val="both"/>
            </w:pPr>
            <w:r>
              <w:lastRenderedPageBreak/>
              <w:t>4.6.Calcule detaliate privind fundamentarea modificărilor veniturilor şi/sau cheltuielilor bugetare</w:t>
            </w:r>
          </w:p>
          <w:p w14:paraId="598F2B3D" w14:textId="77777777" w:rsidR="00CC6F4F" w:rsidRDefault="00CC6F4F">
            <w:pPr>
              <w:jc w:val="both"/>
            </w:pPr>
          </w:p>
        </w:tc>
        <w:tc>
          <w:tcPr>
            <w:tcW w:w="1260" w:type="dxa"/>
          </w:tcPr>
          <w:p w14:paraId="598F2B3E" w14:textId="77777777" w:rsidR="00CC6F4F" w:rsidRDefault="00CC6F4F">
            <w:pPr>
              <w:jc w:val="both"/>
              <w:rPr>
                <w:b/>
              </w:rPr>
            </w:pPr>
          </w:p>
        </w:tc>
        <w:tc>
          <w:tcPr>
            <w:tcW w:w="1080" w:type="dxa"/>
          </w:tcPr>
          <w:p w14:paraId="598F2B3F" w14:textId="77777777" w:rsidR="00CC6F4F" w:rsidRDefault="00CC6F4F">
            <w:pPr>
              <w:jc w:val="both"/>
            </w:pPr>
          </w:p>
        </w:tc>
        <w:tc>
          <w:tcPr>
            <w:tcW w:w="990" w:type="dxa"/>
          </w:tcPr>
          <w:p w14:paraId="598F2B40" w14:textId="77777777" w:rsidR="00CC6F4F" w:rsidRDefault="00CC6F4F">
            <w:pPr>
              <w:jc w:val="both"/>
            </w:pPr>
          </w:p>
          <w:p w14:paraId="598F2B41" w14:textId="77777777" w:rsidR="00CC6F4F" w:rsidRDefault="00CC6F4F">
            <w:pPr>
              <w:jc w:val="both"/>
            </w:pPr>
          </w:p>
          <w:p w14:paraId="598F2B42" w14:textId="77777777" w:rsidR="00CC6F4F" w:rsidRDefault="00CC6F4F">
            <w:pPr>
              <w:jc w:val="both"/>
            </w:pPr>
          </w:p>
          <w:p w14:paraId="598F2B43" w14:textId="77777777" w:rsidR="00CC6F4F" w:rsidRDefault="00CC6F4F">
            <w:pPr>
              <w:jc w:val="both"/>
            </w:pPr>
          </w:p>
        </w:tc>
        <w:tc>
          <w:tcPr>
            <w:tcW w:w="900" w:type="dxa"/>
          </w:tcPr>
          <w:p w14:paraId="598F2B44" w14:textId="77777777" w:rsidR="00CC6F4F" w:rsidRDefault="00CC6F4F">
            <w:pPr>
              <w:jc w:val="both"/>
              <w:rPr>
                <w:b/>
              </w:rPr>
            </w:pPr>
          </w:p>
        </w:tc>
        <w:tc>
          <w:tcPr>
            <w:tcW w:w="990" w:type="dxa"/>
          </w:tcPr>
          <w:p w14:paraId="598F2B45" w14:textId="77777777" w:rsidR="00CC6F4F" w:rsidRDefault="00CC6F4F">
            <w:pPr>
              <w:jc w:val="both"/>
              <w:rPr>
                <w:b/>
              </w:rPr>
            </w:pPr>
          </w:p>
        </w:tc>
        <w:tc>
          <w:tcPr>
            <w:tcW w:w="1767" w:type="dxa"/>
          </w:tcPr>
          <w:p w14:paraId="598F2B46" w14:textId="77777777" w:rsidR="00CC6F4F" w:rsidRDefault="00CC6F4F">
            <w:pPr>
              <w:jc w:val="both"/>
              <w:rPr>
                <w:b/>
              </w:rPr>
            </w:pPr>
          </w:p>
        </w:tc>
      </w:tr>
      <w:tr w:rsidR="00CC6F4F" w14:paraId="598F2B50" w14:textId="77777777">
        <w:trPr>
          <w:trHeight w:val="971"/>
        </w:trPr>
        <w:tc>
          <w:tcPr>
            <w:tcW w:w="3750" w:type="dxa"/>
          </w:tcPr>
          <w:p w14:paraId="598F2B48" w14:textId="77777777" w:rsidR="00CC6F4F" w:rsidRDefault="00A35062">
            <w:pPr>
              <w:jc w:val="both"/>
            </w:pPr>
            <w:r>
              <w:t>4.7. Prezentarea, în cazul proiectelor de acte normative a căror adoptare atrage majorarea cheltuielilor bugetare, a următoarelor documente:</w:t>
            </w:r>
          </w:p>
          <w:p w14:paraId="598F2B49" w14:textId="77777777" w:rsidR="00CC6F4F" w:rsidRDefault="00A35062">
            <w:pPr>
              <w:jc w:val="both"/>
            </w:pPr>
            <w:r>
              <w:t xml:space="preserve">a) fişa financiară prevăzută la art. 15 din Legea nr. </w:t>
            </w:r>
            <w:hyperlink r:id="rId8">
              <w:r>
                <w:rPr>
                  <w:color w:val="000000"/>
                </w:rPr>
                <w:t>500/2002</w:t>
              </w:r>
            </w:hyperlink>
            <w:r>
              <w:t xml:space="preserve"> privind finanţele publice, cu modificările şi completările ulterioare, însoţită de ipotezele şi metodologia de calcul utilizată;</w:t>
            </w:r>
          </w:p>
          <w:p w14:paraId="598F2B4D" w14:textId="13E704E2" w:rsidR="00CC6F4F" w:rsidRDefault="00A35062">
            <w:pPr>
              <w:jc w:val="both"/>
            </w:pPr>
            <w: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p w14:paraId="598F2B4E" w14:textId="77777777" w:rsidR="00CC6F4F" w:rsidRDefault="00CC6F4F">
            <w:pPr>
              <w:jc w:val="both"/>
            </w:pPr>
          </w:p>
        </w:tc>
        <w:tc>
          <w:tcPr>
            <w:tcW w:w="6987" w:type="dxa"/>
            <w:gridSpan w:val="6"/>
          </w:tcPr>
          <w:p w14:paraId="598F2B4F" w14:textId="77777777" w:rsidR="00CC6F4F" w:rsidRDefault="00A35062">
            <w:pPr>
              <w:jc w:val="both"/>
            </w:pPr>
            <w:r>
              <w:t>Proiectul de act normativ nu se referă la acest domeniu.</w:t>
            </w:r>
          </w:p>
        </w:tc>
      </w:tr>
      <w:tr w:rsidR="00CC6F4F" w14:paraId="598F2B59" w14:textId="77777777">
        <w:trPr>
          <w:trHeight w:val="40"/>
        </w:trPr>
        <w:tc>
          <w:tcPr>
            <w:tcW w:w="3750" w:type="dxa"/>
          </w:tcPr>
          <w:p w14:paraId="598F2B55" w14:textId="4DBB2369" w:rsidR="00CC6F4F" w:rsidRDefault="00A35062" w:rsidP="000C042E">
            <w:pPr>
              <w:jc w:val="both"/>
            </w:pPr>
            <w:r>
              <w:t>4.8. Alte informaţii</w:t>
            </w:r>
          </w:p>
        </w:tc>
        <w:tc>
          <w:tcPr>
            <w:tcW w:w="6987" w:type="dxa"/>
            <w:gridSpan w:val="6"/>
          </w:tcPr>
          <w:p w14:paraId="598F2B57" w14:textId="4DD74F48" w:rsidR="00CC6F4F" w:rsidRDefault="00A35062">
            <w:pPr>
              <w:spacing w:line="259" w:lineRule="auto"/>
              <w:jc w:val="both"/>
            </w:pPr>
            <w:r>
              <w:t>Capitalul social inițial al societății este</w:t>
            </w:r>
            <w:r>
              <w:rPr>
                <w:highlight w:val="white"/>
              </w:rPr>
              <w:t xml:space="preserve"> de 125.000 lei.</w:t>
            </w:r>
          </w:p>
          <w:p w14:paraId="598F2B58" w14:textId="77777777" w:rsidR="00CC6F4F" w:rsidRDefault="00CC6F4F">
            <w:pPr>
              <w:spacing w:line="259" w:lineRule="auto"/>
              <w:jc w:val="both"/>
            </w:pPr>
          </w:p>
        </w:tc>
      </w:tr>
    </w:tbl>
    <w:p w14:paraId="598F2B5A" w14:textId="77777777" w:rsidR="00CC6F4F" w:rsidRDefault="00CC6F4F">
      <w:pPr>
        <w:jc w:val="center"/>
        <w:rPr>
          <w:b/>
        </w:rPr>
      </w:pPr>
    </w:p>
    <w:p w14:paraId="598F2B5B" w14:textId="77777777" w:rsidR="00CC6F4F" w:rsidRDefault="00CC6F4F">
      <w:pPr>
        <w:jc w:val="center"/>
        <w:rPr>
          <w:b/>
        </w:rPr>
      </w:pPr>
    </w:p>
    <w:p w14:paraId="598F2B5C" w14:textId="77777777" w:rsidR="00CC6F4F" w:rsidRDefault="00A35062">
      <w:pPr>
        <w:jc w:val="center"/>
        <w:rPr>
          <w:b/>
        </w:rPr>
      </w:pPr>
      <w:r>
        <w:rPr>
          <w:b/>
        </w:rPr>
        <w:t xml:space="preserve">Secţiunea a 5 – a </w:t>
      </w:r>
    </w:p>
    <w:p w14:paraId="598F2B5D" w14:textId="77777777" w:rsidR="00CC6F4F" w:rsidRDefault="00A35062">
      <w:pPr>
        <w:jc w:val="center"/>
        <w:rPr>
          <w:b/>
        </w:rPr>
      </w:pPr>
      <w:r>
        <w:rPr>
          <w:b/>
        </w:rPr>
        <w:t>Efectele proiectului de act  normativ asupra legislaţiei în vigoare</w:t>
      </w:r>
    </w:p>
    <w:p w14:paraId="598F2B5E" w14:textId="77777777" w:rsidR="00CC6F4F" w:rsidRDefault="00CC6F4F">
      <w:pPr>
        <w:jc w:val="center"/>
        <w:rPr>
          <w:b/>
        </w:rPr>
      </w:pPr>
    </w:p>
    <w:p w14:paraId="598F2B5F" w14:textId="77777777" w:rsidR="00CC6F4F" w:rsidRDefault="00CC6F4F">
      <w:pPr>
        <w:jc w:val="center"/>
        <w:rPr>
          <w:b/>
        </w:rPr>
      </w:pPr>
    </w:p>
    <w:tbl>
      <w:tblPr>
        <w:tblStyle w:val="a3"/>
        <w:tblW w:w="1046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6775"/>
      </w:tblGrid>
      <w:tr w:rsidR="00CC6F4F" w14:paraId="598F2B68" w14:textId="77777777" w:rsidTr="000C042E">
        <w:trPr>
          <w:trHeight w:val="868"/>
        </w:trPr>
        <w:tc>
          <w:tcPr>
            <w:tcW w:w="3686" w:type="dxa"/>
          </w:tcPr>
          <w:p w14:paraId="598F2B61" w14:textId="1F3AF384" w:rsidR="00CC6F4F" w:rsidRDefault="00A35062" w:rsidP="000C042E">
            <w:pPr>
              <w:jc w:val="both"/>
            </w:pPr>
            <w:r>
              <w:t>5.1. Măsuri normative necesare pentru aplicarea prevederilor proiectului de act normativ</w:t>
            </w:r>
          </w:p>
        </w:tc>
        <w:tc>
          <w:tcPr>
            <w:tcW w:w="6775" w:type="dxa"/>
          </w:tcPr>
          <w:p w14:paraId="598F2B67" w14:textId="21B3326D" w:rsidR="00CC6F4F" w:rsidRDefault="00A35062" w:rsidP="000C042E">
            <w:pPr>
              <w:jc w:val="both"/>
            </w:pPr>
            <w:r>
              <w:t>Nu este cazul.</w:t>
            </w:r>
          </w:p>
        </w:tc>
      </w:tr>
      <w:tr w:rsidR="00CC6F4F" w14:paraId="598F2B6E" w14:textId="77777777">
        <w:trPr>
          <w:trHeight w:val="70"/>
        </w:trPr>
        <w:tc>
          <w:tcPr>
            <w:tcW w:w="3686" w:type="dxa"/>
          </w:tcPr>
          <w:p w14:paraId="598F2B69" w14:textId="77777777" w:rsidR="00CC6F4F" w:rsidRDefault="00A35062">
            <w:pPr>
              <w:jc w:val="both"/>
              <w:rPr>
                <w:b/>
              </w:rPr>
            </w:pPr>
            <w:r>
              <w:t>5.2. Impactul asupra legislaţiei în domeniul achiziţiilor publice</w:t>
            </w:r>
            <w:r>
              <w:rPr>
                <w:b/>
              </w:rPr>
              <w:t xml:space="preserve"> </w:t>
            </w:r>
          </w:p>
          <w:p w14:paraId="598F2B6A" w14:textId="77777777" w:rsidR="00CC6F4F" w:rsidRDefault="00CC6F4F">
            <w:pPr>
              <w:jc w:val="both"/>
              <w:rPr>
                <w:b/>
              </w:rPr>
            </w:pPr>
          </w:p>
        </w:tc>
        <w:tc>
          <w:tcPr>
            <w:tcW w:w="6775" w:type="dxa"/>
          </w:tcPr>
          <w:p w14:paraId="598F2B6B" w14:textId="77777777" w:rsidR="00CC6F4F" w:rsidRDefault="00A35062">
            <w:pPr>
              <w:pStyle w:val="Titlu1"/>
              <w:rPr>
                <w:b w:val="0"/>
                <w:sz w:val="24"/>
              </w:rPr>
            </w:pPr>
            <w:r>
              <w:rPr>
                <w:b w:val="0"/>
                <w:sz w:val="24"/>
              </w:rPr>
              <w:t>Nu este cazul.</w:t>
            </w:r>
          </w:p>
          <w:p w14:paraId="598F2B6C" w14:textId="77777777" w:rsidR="00CC6F4F" w:rsidRDefault="00CC6F4F"/>
          <w:p w14:paraId="598F2B6D" w14:textId="77777777" w:rsidR="00CC6F4F" w:rsidRDefault="00CC6F4F"/>
        </w:tc>
      </w:tr>
      <w:tr w:rsidR="00CC6F4F" w14:paraId="598F2B7C" w14:textId="77777777">
        <w:trPr>
          <w:trHeight w:val="561"/>
        </w:trPr>
        <w:tc>
          <w:tcPr>
            <w:tcW w:w="3686" w:type="dxa"/>
          </w:tcPr>
          <w:p w14:paraId="598F2B6F" w14:textId="77777777" w:rsidR="00CC6F4F" w:rsidRDefault="00A35062">
            <w:pPr>
              <w:jc w:val="both"/>
            </w:pPr>
            <w:r>
              <w:t>5.3. Conformitatea proiectului de act normativ cu legislaţia UE (în cazul proiectelor ce transpun sau asigură aplicarea unor prevederi de drept UE).</w:t>
            </w:r>
          </w:p>
          <w:p w14:paraId="598F2B70" w14:textId="77777777" w:rsidR="00CC6F4F" w:rsidRDefault="00A35062">
            <w:pPr>
              <w:jc w:val="both"/>
            </w:pPr>
            <w:r>
              <w:t>5.3.1. Măsuri normative necesare transpunerii directivelor UE</w:t>
            </w:r>
          </w:p>
          <w:p w14:paraId="598F2B71" w14:textId="77777777" w:rsidR="00CC6F4F" w:rsidRDefault="00A35062">
            <w:pPr>
              <w:jc w:val="both"/>
            </w:pPr>
            <w:bookmarkStart w:id="1" w:name="bookmark=id.30j0zll" w:colFirst="0" w:colLast="0"/>
            <w:bookmarkEnd w:id="1"/>
            <w:r>
              <w:t>5.3.2. Măsuri normative necesare aplicării actelor legislative ale UE.</w:t>
            </w:r>
          </w:p>
        </w:tc>
        <w:tc>
          <w:tcPr>
            <w:tcW w:w="6775" w:type="dxa"/>
          </w:tcPr>
          <w:p w14:paraId="598F2B72" w14:textId="77777777" w:rsidR="00CC6F4F" w:rsidRDefault="00A35062">
            <w:pPr>
              <w:spacing w:line="276" w:lineRule="auto"/>
              <w:rPr>
                <w:b/>
              </w:rPr>
            </w:pPr>
            <w:r>
              <w:t>Proiectul de act normativ nu se referă la acest subiect.</w:t>
            </w:r>
          </w:p>
          <w:p w14:paraId="598F2B73" w14:textId="77777777" w:rsidR="00CC6F4F" w:rsidRDefault="00CC6F4F"/>
          <w:p w14:paraId="598F2B74" w14:textId="77777777" w:rsidR="00CC6F4F" w:rsidRDefault="00CC6F4F"/>
          <w:p w14:paraId="598F2B75" w14:textId="77777777" w:rsidR="00CC6F4F" w:rsidRDefault="00CC6F4F"/>
          <w:p w14:paraId="598F2B76" w14:textId="77777777" w:rsidR="00CC6F4F" w:rsidRDefault="00CC6F4F"/>
          <w:p w14:paraId="598F2B77" w14:textId="77777777" w:rsidR="00CC6F4F" w:rsidRDefault="00CC6F4F"/>
          <w:p w14:paraId="598F2B78" w14:textId="77777777" w:rsidR="00CC6F4F" w:rsidRDefault="00CC6F4F"/>
          <w:p w14:paraId="598F2B79" w14:textId="77777777" w:rsidR="00CC6F4F" w:rsidRDefault="00CC6F4F"/>
          <w:p w14:paraId="598F2B7A" w14:textId="77777777" w:rsidR="00CC6F4F" w:rsidRDefault="00CC6F4F"/>
          <w:p w14:paraId="598F2B7B" w14:textId="77777777" w:rsidR="00CC6F4F" w:rsidRDefault="00CC6F4F"/>
        </w:tc>
      </w:tr>
      <w:tr w:rsidR="00CC6F4F" w14:paraId="598F2B81" w14:textId="77777777">
        <w:trPr>
          <w:trHeight w:val="696"/>
        </w:trPr>
        <w:tc>
          <w:tcPr>
            <w:tcW w:w="3686" w:type="dxa"/>
          </w:tcPr>
          <w:p w14:paraId="598F2B7D" w14:textId="77777777" w:rsidR="00CC6F4F" w:rsidRDefault="00A35062">
            <w:pPr>
              <w:jc w:val="both"/>
            </w:pPr>
            <w:r>
              <w:t xml:space="preserve">5.4. Hotărâri ale Curţii de Justiţie a Uniunii Europene </w:t>
            </w:r>
          </w:p>
          <w:p w14:paraId="598F2B7E" w14:textId="77777777" w:rsidR="00CC6F4F" w:rsidRDefault="00CC6F4F">
            <w:pPr>
              <w:jc w:val="both"/>
            </w:pPr>
          </w:p>
        </w:tc>
        <w:tc>
          <w:tcPr>
            <w:tcW w:w="6775" w:type="dxa"/>
          </w:tcPr>
          <w:p w14:paraId="598F2B7F" w14:textId="77777777" w:rsidR="00CC6F4F" w:rsidRDefault="00A35062">
            <w:pPr>
              <w:spacing w:line="276" w:lineRule="auto"/>
            </w:pPr>
            <w:r>
              <w:t>Proiectul de act normativ nu se referă la acest subiect.</w:t>
            </w:r>
          </w:p>
          <w:p w14:paraId="598F2B80" w14:textId="77777777" w:rsidR="00CC6F4F" w:rsidRDefault="00CC6F4F"/>
        </w:tc>
      </w:tr>
      <w:tr w:rsidR="00CC6F4F" w14:paraId="598F2B89" w14:textId="77777777">
        <w:trPr>
          <w:trHeight w:val="834"/>
        </w:trPr>
        <w:tc>
          <w:tcPr>
            <w:tcW w:w="3686" w:type="dxa"/>
          </w:tcPr>
          <w:p w14:paraId="598F2B82" w14:textId="77777777" w:rsidR="00CC6F4F" w:rsidRDefault="00A35062">
            <w:pPr>
              <w:jc w:val="both"/>
            </w:pPr>
            <w:r>
              <w:lastRenderedPageBreak/>
              <w:t>5.5. Alte acte normative si/sau documente internaţionale din care decurg angajamente asumate</w:t>
            </w:r>
          </w:p>
          <w:p w14:paraId="598F2B83" w14:textId="77777777" w:rsidR="00CC6F4F" w:rsidRDefault="00CC6F4F">
            <w:pPr>
              <w:jc w:val="both"/>
            </w:pPr>
          </w:p>
        </w:tc>
        <w:tc>
          <w:tcPr>
            <w:tcW w:w="6775" w:type="dxa"/>
          </w:tcPr>
          <w:p w14:paraId="598F2B84" w14:textId="77777777" w:rsidR="00CC6F4F" w:rsidRDefault="00A35062">
            <w:r>
              <w:t>Nu este cazul.</w:t>
            </w:r>
          </w:p>
          <w:p w14:paraId="598F2B85" w14:textId="77777777" w:rsidR="00CC6F4F" w:rsidRDefault="00CC6F4F"/>
          <w:p w14:paraId="598F2B86" w14:textId="77777777" w:rsidR="00CC6F4F" w:rsidRDefault="00CC6F4F"/>
          <w:p w14:paraId="598F2B87" w14:textId="77777777" w:rsidR="00CC6F4F" w:rsidRDefault="00CC6F4F"/>
          <w:p w14:paraId="598F2B88" w14:textId="77777777" w:rsidR="00CC6F4F" w:rsidRDefault="00CC6F4F"/>
        </w:tc>
      </w:tr>
      <w:tr w:rsidR="00CC6F4F" w14:paraId="598F2B8F" w14:textId="77777777">
        <w:trPr>
          <w:trHeight w:val="395"/>
        </w:trPr>
        <w:tc>
          <w:tcPr>
            <w:tcW w:w="3686" w:type="dxa"/>
          </w:tcPr>
          <w:p w14:paraId="598F2B8A" w14:textId="77777777" w:rsidR="00CC6F4F" w:rsidRDefault="00A35062">
            <w:pPr>
              <w:jc w:val="both"/>
            </w:pPr>
            <w:r>
              <w:t>5.6. Alte informaţii</w:t>
            </w:r>
          </w:p>
          <w:p w14:paraId="598F2B8B" w14:textId="77777777" w:rsidR="00CC6F4F" w:rsidRDefault="00CC6F4F">
            <w:pPr>
              <w:jc w:val="both"/>
            </w:pPr>
          </w:p>
          <w:p w14:paraId="598F2B8C" w14:textId="77777777" w:rsidR="00CC6F4F" w:rsidRDefault="00CC6F4F">
            <w:pPr>
              <w:jc w:val="both"/>
            </w:pPr>
          </w:p>
        </w:tc>
        <w:tc>
          <w:tcPr>
            <w:tcW w:w="6775" w:type="dxa"/>
          </w:tcPr>
          <w:p w14:paraId="598F2B8D" w14:textId="77777777" w:rsidR="00CC6F4F" w:rsidRDefault="00A35062">
            <w:pPr>
              <w:pBdr>
                <w:top w:val="nil"/>
                <w:left w:val="nil"/>
                <w:bottom w:val="nil"/>
                <w:right w:val="nil"/>
                <w:between w:val="nil"/>
              </w:pBdr>
              <w:jc w:val="both"/>
              <w:rPr>
                <w:color w:val="000000"/>
              </w:rPr>
            </w:pPr>
            <w:r>
              <w:rPr>
                <w:color w:val="000000"/>
              </w:rPr>
              <w:t>Nu au fost identificate.</w:t>
            </w:r>
          </w:p>
          <w:p w14:paraId="598F2B8E" w14:textId="77777777" w:rsidR="00CC6F4F" w:rsidRDefault="00CC6F4F">
            <w:pPr>
              <w:pBdr>
                <w:top w:val="nil"/>
                <w:left w:val="nil"/>
                <w:bottom w:val="nil"/>
                <w:right w:val="nil"/>
                <w:between w:val="nil"/>
              </w:pBdr>
              <w:jc w:val="both"/>
              <w:rPr>
                <w:color w:val="000000"/>
              </w:rPr>
            </w:pPr>
          </w:p>
        </w:tc>
      </w:tr>
    </w:tbl>
    <w:p w14:paraId="598F2B90" w14:textId="77777777" w:rsidR="00CC6F4F" w:rsidRDefault="00CC6F4F">
      <w:pPr>
        <w:rPr>
          <w:b/>
        </w:rPr>
      </w:pPr>
    </w:p>
    <w:p w14:paraId="598F2B92" w14:textId="77777777" w:rsidR="00CC6F4F" w:rsidRDefault="00A35062">
      <w:pPr>
        <w:rPr>
          <w:b/>
        </w:rPr>
      </w:pPr>
      <w:r>
        <w:rPr>
          <w:b/>
        </w:rPr>
        <w:t xml:space="preserve">                                                             Secţiunea a 6 – a </w:t>
      </w:r>
    </w:p>
    <w:p w14:paraId="598F2B93" w14:textId="77777777" w:rsidR="00CC6F4F" w:rsidRDefault="00A35062">
      <w:pPr>
        <w:jc w:val="center"/>
        <w:rPr>
          <w:b/>
        </w:rPr>
      </w:pPr>
      <w:r>
        <w:rPr>
          <w:b/>
        </w:rPr>
        <w:t>Consultările efectuate în vederea elaborării proiectului de act normativ</w:t>
      </w:r>
    </w:p>
    <w:p w14:paraId="598F2B95" w14:textId="77777777" w:rsidR="00CC6F4F" w:rsidRDefault="00CC6F4F">
      <w:pPr>
        <w:jc w:val="center"/>
        <w:rPr>
          <w:b/>
        </w:rPr>
      </w:pPr>
    </w:p>
    <w:tbl>
      <w:tblPr>
        <w:tblStyle w:val="a4"/>
        <w:tblW w:w="1046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1"/>
        <w:gridCol w:w="5670"/>
      </w:tblGrid>
      <w:tr w:rsidR="00CC6F4F" w14:paraId="598F2B9A" w14:textId="77777777">
        <w:trPr>
          <w:trHeight w:val="615"/>
        </w:trPr>
        <w:tc>
          <w:tcPr>
            <w:tcW w:w="4791" w:type="dxa"/>
          </w:tcPr>
          <w:p w14:paraId="598F2B96" w14:textId="77777777" w:rsidR="00CC6F4F" w:rsidRDefault="00A35062">
            <w:pPr>
              <w:jc w:val="both"/>
            </w:pPr>
            <w:r>
              <w:t xml:space="preserve">6.1. Informaţii privind neaplicarea procedurii de participare la elaborarea actelor normative </w:t>
            </w:r>
          </w:p>
        </w:tc>
        <w:tc>
          <w:tcPr>
            <w:tcW w:w="5670" w:type="dxa"/>
          </w:tcPr>
          <w:p w14:paraId="598F2B99" w14:textId="78B4CEBF" w:rsidR="00CC6F4F" w:rsidRDefault="000C042E" w:rsidP="000C042E">
            <w:pPr>
              <w:jc w:val="both"/>
            </w:pPr>
            <w:r w:rsidRPr="000C042E">
              <w:t>Menționăm că au fost întreprinse demersurile legale prevăzute de art. 7 din Regulamentul privind procedurile, la nivelul Guvernului, pentru elaborarea, avizarea și prezentarea proiectelor de documente de politici publice, a proiectelor de acte normative, precum și a altor documente, în vederea adoptării/aprobării, aprobat prin Hotărârea de Guvern nr. 561/2009.</w:t>
            </w:r>
          </w:p>
        </w:tc>
      </w:tr>
      <w:tr w:rsidR="00CC6F4F" w14:paraId="598F2B9D" w14:textId="77777777">
        <w:trPr>
          <w:trHeight w:val="871"/>
        </w:trPr>
        <w:tc>
          <w:tcPr>
            <w:tcW w:w="4791" w:type="dxa"/>
          </w:tcPr>
          <w:p w14:paraId="598F2B9B" w14:textId="77777777" w:rsidR="00CC6F4F" w:rsidRDefault="00A35062">
            <w:pPr>
              <w:jc w:val="both"/>
            </w:pPr>
            <w:r>
              <w:t>6.2. Informaţii privind procesul de consultare cu organizaţii neguvernamentale, institute de cercetare si alte organisme implicate</w:t>
            </w:r>
          </w:p>
        </w:tc>
        <w:tc>
          <w:tcPr>
            <w:tcW w:w="5670" w:type="dxa"/>
          </w:tcPr>
          <w:p w14:paraId="598F2B9C" w14:textId="77777777" w:rsidR="00CC6F4F" w:rsidRDefault="00A35062">
            <w:pPr>
              <w:jc w:val="both"/>
            </w:pPr>
            <w:r>
              <w:t>Proiectul de act normativ nu se referă la acest subiect.</w:t>
            </w:r>
          </w:p>
        </w:tc>
      </w:tr>
      <w:tr w:rsidR="00CC6F4F" w14:paraId="598F2BA0" w14:textId="77777777">
        <w:trPr>
          <w:trHeight w:val="593"/>
        </w:trPr>
        <w:tc>
          <w:tcPr>
            <w:tcW w:w="4791" w:type="dxa"/>
          </w:tcPr>
          <w:p w14:paraId="598F2B9E" w14:textId="77777777" w:rsidR="00CC6F4F" w:rsidRDefault="00A35062">
            <w:pPr>
              <w:jc w:val="both"/>
            </w:pPr>
            <w:r>
              <w:t>6.3. Informaţii despre consultările organizate cu autorităţile administraţiei publice locale.</w:t>
            </w:r>
          </w:p>
        </w:tc>
        <w:tc>
          <w:tcPr>
            <w:tcW w:w="5670" w:type="dxa"/>
          </w:tcPr>
          <w:p w14:paraId="598F2B9F" w14:textId="77777777" w:rsidR="00CC6F4F" w:rsidRDefault="00A35062">
            <w:pPr>
              <w:jc w:val="both"/>
              <w:rPr>
                <w:strike/>
              </w:rPr>
            </w:pPr>
            <w:r>
              <w:t>Proiectul de act normativ nu se referă la acest subiect.</w:t>
            </w:r>
          </w:p>
        </w:tc>
      </w:tr>
      <w:tr w:rsidR="00CC6F4F" w14:paraId="598F2BA3" w14:textId="77777777">
        <w:trPr>
          <w:trHeight w:val="859"/>
        </w:trPr>
        <w:tc>
          <w:tcPr>
            <w:tcW w:w="4791" w:type="dxa"/>
          </w:tcPr>
          <w:p w14:paraId="598F2BA1" w14:textId="77777777" w:rsidR="00CC6F4F" w:rsidRDefault="00A35062">
            <w:pPr>
              <w:jc w:val="both"/>
            </w:pPr>
            <w:r>
              <w:t>6.4. Informaţii privind puncte de vedere/opinii emise de organisme consultative constituite prin acte normative</w:t>
            </w:r>
          </w:p>
        </w:tc>
        <w:tc>
          <w:tcPr>
            <w:tcW w:w="5670" w:type="dxa"/>
          </w:tcPr>
          <w:p w14:paraId="598F2BA2" w14:textId="77777777" w:rsidR="00CC6F4F" w:rsidRDefault="00A35062">
            <w:pPr>
              <w:jc w:val="both"/>
            </w:pPr>
            <w:r>
              <w:t>Proiectul de act normativ nu se referă la acest subiect.</w:t>
            </w:r>
          </w:p>
        </w:tc>
      </w:tr>
      <w:tr w:rsidR="00CC6F4F" w14:paraId="598F2BAC" w14:textId="77777777">
        <w:trPr>
          <w:trHeight w:val="1567"/>
        </w:trPr>
        <w:tc>
          <w:tcPr>
            <w:tcW w:w="4791" w:type="dxa"/>
          </w:tcPr>
          <w:p w14:paraId="598F2BA4" w14:textId="77777777" w:rsidR="00CC6F4F" w:rsidRDefault="00A35062">
            <w:pPr>
              <w:jc w:val="both"/>
            </w:pPr>
            <w:r>
              <w:t>6.5. Informaţii privind avizarea de către:</w:t>
            </w:r>
          </w:p>
          <w:p w14:paraId="598F2BA5" w14:textId="77777777" w:rsidR="00CC6F4F" w:rsidRDefault="00A35062">
            <w:pPr>
              <w:jc w:val="both"/>
            </w:pPr>
            <w:r>
              <w:t xml:space="preserve">a)Consiliul Legislativ </w:t>
            </w:r>
          </w:p>
          <w:p w14:paraId="598F2BA6" w14:textId="77777777" w:rsidR="00CC6F4F" w:rsidRDefault="00A35062">
            <w:pPr>
              <w:jc w:val="both"/>
            </w:pPr>
            <w:r>
              <w:t>b)Consiliul Suprem de Apărare a Ţării</w:t>
            </w:r>
          </w:p>
          <w:p w14:paraId="598F2BA7" w14:textId="77777777" w:rsidR="00CC6F4F" w:rsidRDefault="00A35062">
            <w:pPr>
              <w:pBdr>
                <w:top w:val="nil"/>
                <w:left w:val="nil"/>
                <w:bottom w:val="nil"/>
                <w:right w:val="nil"/>
                <w:between w:val="nil"/>
              </w:pBdr>
              <w:tabs>
                <w:tab w:val="center" w:pos="4320"/>
                <w:tab w:val="right" w:pos="8640"/>
              </w:tabs>
              <w:jc w:val="both"/>
              <w:rPr>
                <w:color w:val="000000"/>
              </w:rPr>
            </w:pPr>
            <w:r>
              <w:rPr>
                <w:color w:val="000000"/>
              </w:rPr>
              <w:t>c)Consiliul Economic si Social</w:t>
            </w:r>
          </w:p>
          <w:p w14:paraId="598F2BA8" w14:textId="77777777" w:rsidR="00CC6F4F" w:rsidRDefault="00A35062">
            <w:pPr>
              <w:jc w:val="both"/>
            </w:pPr>
            <w:r>
              <w:t>d)Consiliul Concurenţei</w:t>
            </w:r>
          </w:p>
          <w:p w14:paraId="598F2BA9" w14:textId="77777777" w:rsidR="00CC6F4F" w:rsidRDefault="00A35062">
            <w:pPr>
              <w:jc w:val="both"/>
            </w:pPr>
            <w:r>
              <w:t>e)Curtea de Conturi</w:t>
            </w:r>
          </w:p>
        </w:tc>
        <w:tc>
          <w:tcPr>
            <w:tcW w:w="5670" w:type="dxa"/>
          </w:tcPr>
          <w:p w14:paraId="598F2BAA" w14:textId="19787DDC" w:rsidR="00CC6F4F" w:rsidRDefault="00A35062">
            <w:pPr>
              <w:spacing w:line="276" w:lineRule="auto"/>
              <w:rPr>
                <w:color w:val="000000"/>
              </w:rPr>
            </w:pPr>
            <w:r>
              <w:rPr>
                <w:color w:val="000000"/>
              </w:rPr>
              <w:t>Proiectul de act normativ necesită avizul Consiliului Legislativ</w:t>
            </w:r>
            <w:r w:rsidR="00D6063D">
              <w:rPr>
                <w:color w:val="000000"/>
              </w:rPr>
              <w:t>,</w:t>
            </w:r>
            <w:r w:rsidR="00D6063D">
              <w:t xml:space="preserve"> </w:t>
            </w:r>
            <w:r w:rsidR="00D6063D">
              <w:t>Consiliul Suprem de Apărare a Ţării</w:t>
            </w:r>
            <w:r>
              <w:rPr>
                <w:color w:val="000000"/>
              </w:rPr>
              <w:t xml:space="preserve"> și Consiliului Concurenţei.</w:t>
            </w:r>
          </w:p>
          <w:p w14:paraId="598F2BAB" w14:textId="77777777" w:rsidR="00CC6F4F" w:rsidRDefault="00CC6F4F">
            <w:pPr>
              <w:jc w:val="both"/>
              <w:rPr>
                <w:color w:val="000000"/>
              </w:rPr>
            </w:pPr>
          </w:p>
        </w:tc>
      </w:tr>
      <w:tr w:rsidR="00CC6F4F" w14:paraId="598F2BB0" w14:textId="77777777">
        <w:trPr>
          <w:trHeight w:val="276"/>
        </w:trPr>
        <w:tc>
          <w:tcPr>
            <w:tcW w:w="4791" w:type="dxa"/>
          </w:tcPr>
          <w:p w14:paraId="598F2BAD" w14:textId="77777777" w:rsidR="00CC6F4F" w:rsidRDefault="00A35062">
            <w:pPr>
              <w:jc w:val="both"/>
            </w:pPr>
            <w:r>
              <w:t>6.6. Alte informaţii</w:t>
            </w:r>
          </w:p>
        </w:tc>
        <w:tc>
          <w:tcPr>
            <w:tcW w:w="5670" w:type="dxa"/>
          </w:tcPr>
          <w:p w14:paraId="598F2BAE" w14:textId="77777777" w:rsidR="00CC6F4F" w:rsidRDefault="00A35062">
            <w:pPr>
              <w:jc w:val="both"/>
            </w:pPr>
            <w:r>
              <w:t>Nu au fost identificate.</w:t>
            </w:r>
          </w:p>
          <w:p w14:paraId="598F2BAF" w14:textId="77777777" w:rsidR="00CC6F4F" w:rsidRDefault="00CC6F4F">
            <w:pPr>
              <w:jc w:val="both"/>
            </w:pPr>
          </w:p>
        </w:tc>
      </w:tr>
    </w:tbl>
    <w:p w14:paraId="598F2BB1" w14:textId="77777777" w:rsidR="00CC6F4F" w:rsidRDefault="00CC6F4F">
      <w:pPr>
        <w:jc w:val="center"/>
        <w:rPr>
          <w:b/>
        </w:rPr>
      </w:pPr>
    </w:p>
    <w:p w14:paraId="598F2BB2" w14:textId="77777777" w:rsidR="00CC6F4F" w:rsidRDefault="00A35062">
      <w:pPr>
        <w:jc w:val="center"/>
        <w:rPr>
          <w:b/>
        </w:rPr>
      </w:pPr>
      <w:r>
        <w:rPr>
          <w:b/>
        </w:rPr>
        <w:t xml:space="preserve">Secţiunea a 7 – a </w:t>
      </w:r>
    </w:p>
    <w:p w14:paraId="598F2BB3" w14:textId="77777777" w:rsidR="00CC6F4F" w:rsidRDefault="00A35062">
      <w:pPr>
        <w:jc w:val="center"/>
        <w:rPr>
          <w:b/>
        </w:rPr>
      </w:pPr>
      <w:r>
        <w:rPr>
          <w:b/>
        </w:rPr>
        <w:t xml:space="preserve">Activităţi de informare publică privind elaborarea si implementarea proiectului de act </w:t>
      </w:r>
    </w:p>
    <w:p w14:paraId="598F2BB4" w14:textId="77777777" w:rsidR="00CC6F4F" w:rsidRDefault="00A35062">
      <w:pPr>
        <w:jc w:val="center"/>
        <w:rPr>
          <w:b/>
        </w:rPr>
      </w:pPr>
      <w:r>
        <w:rPr>
          <w:b/>
        </w:rPr>
        <w:t>normativ</w:t>
      </w:r>
    </w:p>
    <w:p w14:paraId="598F2BB5" w14:textId="77777777" w:rsidR="00CC6F4F" w:rsidRDefault="00CC6F4F">
      <w:pPr>
        <w:jc w:val="center"/>
        <w:rPr>
          <w:b/>
        </w:rPr>
      </w:pPr>
    </w:p>
    <w:tbl>
      <w:tblPr>
        <w:tblStyle w:val="a5"/>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5670"/>
      </w:tblGrid>
      <w:tr w:rsidR="00CC6F4F" w14:paraId="598F2BB8" w14:textId="77777777">
        <w:trPr>
          <w:trHeight w:val="1435"/>
        </w:trPr>
        <w:tc>
          <w:tcPr>
            <w:tcW w:w="4820" w:type="dxa"/>
          </w:tcPr>
          <w:p w14:paraId="598F2BB6" w14:textId="77777777" w:rsidR="00CC6F4F" w:rsidRDefault="00A35062">
            <w:pPr>
              <w:jc w:val="both"/>
            </w:pPr>
            <w:r>
              <w:t>7.1 Informarea societăţii civile cu privire la elaborarea proiectului de act normativ</w:t>
            </w:r>
          </w:p>
        </w:tc>
        <w:tc>
          <w:tcPr>
            <w:tcW w:w="5670" w:type="dxa"/>
          </w:tcPr>
          <w:p w14:paraId="598F2BB7" w14:textId="1DA00D61" w:rsidR="00CC6F4F" w:rsidRDefault="000C042E">
            <w:pPr>
              <w:pBdr>
                <w:top w:val="nil"/>
                <w:left w:val="nil"/>
                <w:bottom w:val="nil"/>
                <w:right w:val="nil"/>
                <w:between w:val="nil"/>
              </w:pBdr>
              <w:jc w:val="both"/>
              <w:rPr>
                <w:color w:val="000000"/>
              </w:rPr>
            </w:pPr>
            <w:r w:rsidRPr="000C042E">
              <w:rPr>
                <w:color w:val="000000"/>
              </w:rPr>
              <w:t>Proiectul de act normativ a îndeplinit procedura prevăzută de dispozițiile Legii nr. 52/2003 privind transparența decizională în administrația publică, republicată cu modificările și completările ulterioare.</w:t>
            </w:r>
          </w:p>
        </w:tc>
      </w:tr>
      <w:tr w:rsidR="00CC6F4F" w14:paraId="598F2BBB" w14:textId="77777777">
        <w:trPr>
          <w:trHeight w:val="1411"/>
        </w:trPr>
        <w:tc>
          <w:tcPr>
            <w:tcW w:w="4820" w:type="dxa"/>
          </w:tcPr>
          <w:p w14:paraId="598F2BB9" w14:textId="77777777" w:rsidR="00CC6F4F" w:rsidRDefault="00A35062">
            <w:pPr>
              <w:jc w:val="both"/>
            </w:pPr>
            <w:r>
              <w:t>7.2 Informarea societăţii civile cu privire la eventualul impact asupra mediului în urma implementării proiectului de act normativ, precum si efectele asupra sănătăţii și securităţii cetăţenilor sau diversităţii biologice</w:t>
            </w:r>
          </w:p>
        </w:tc>
        <w:tc>
          <w:tcPr>
            <w:tcW w:w="5670" w:type="dxa"/>
          </w:tcPr>
          <w:p w14:paraId="598F2BBA" w14:textId="77777777" w:rsidR="00CC6F4F" w:rsidRDefault="00A35062">
            <w:pPr>
              <w:pBdr>
                <w:top w:val="nil"/>
                <w:left w:val="nil"/>
                <w:bottom w:val="nil"/>
                <w:right w:val="nil"/>
                <w:between w:val="nil"/>
              </w:pBdr>
              <w:jc w:val="both"/>
              <w:rPr>
                <w:color w:val="000000"/>
              </w:rPr>
            </w:pPr>
            <w:r>
              <w:rPr>
                <w:color w:val="000000"/>
              </w:rPr>
              <w:t>Proiectul de act normativ nu se referă la acest subiect.</w:t>
            </w:r>
          </w:p>
        </w:tc>
      </w:tr>
    </w:tbl>
    <w:p w14:paraId="598F2BBC" w14:textId="77777777" w:rsidR="00CC6F4F" w:rsidRDefault="00CC6F4F">
      <w:pPr>
        <w:rPr>
          <w:b/>
        </w:rPr>
      </w:pPr>
    </w:p>
    <w:p w14:paraId="598F2BBD" w14:textId="77777777" w:rsidR="00CC6F4F" w:rsidRDefault="00CC6F4F">
      <w:pPr>
        <w:jc w:val="center"/>
        <w:rPr>
          <w:b/>
        </w:rPr>
      </w:pPr>
    </w:p>
    <w:p w14:paraId="598F2BBE" w14:textId="77777777" w:rsidR="00CC6F4F" w:rsidRDefault="00CC6F4F">
      <w:pPr>
        <w:jc w:val="center"/>
        <w:rPr>
          <w:b/>
        </w:rPr>
      </w:pPr>
    </w:p>
    <w:p w14:paraId="598F2BBF" w14:textId="77777777" w:rsidR="00CC6F4F" w:rsidRDefault="00A35062">
      <w:pPr>
        <w:jc w:val="center"/>
        <w:rPr>
          <w:b/>
        </w:rPr>
      </w:pPr>
      <w:r>
        <w:rPr>
          <w:b/>
        </w:rPr>
        <w:t xml:space="preserve">Secţiunea a 8 – a  </w:t>
      </w:r>
    </w:p>
    <w:p w14:paraId="598F2BC0" w14:textId="77777777" w:rsidR="00CC6F4F" w:rsidRDefault="00A35062">
      <w:pPr>
        <w:jc w:val="center"/>
        <w:rPr>
          <w:b/>
        </w:rPr>
      </w:pPr>
      <w:r>
        <w:rPr>
          <w:b/>
        </w:rPr>
        <w:t>Măsuri privind implementarea monitorizarea și evaluarea proiectului de act normativ</w:t>
      </w:r>
    </w:p>
    <w:p w14:paraId="598F2BC1" w14:textId="77777777" w:rsidR="00CC6F4F" w:rsidRDefault="00CC6F4F">
      <w:pPr>
        <w:rPr>
          <w:b/>
        </w:rPr>
      </w:pPr>
    </w:p>
    <w:tbl>
      <w:tblPr>
        <w:tblStyle w:val="a6"/>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9"/>
        <w:gridCol w:w="5580"/>
      </w:tblGrid>
      <w:tr w:rsidR="00CC6F4F" w14:paraId="598F2BC4" w14:textId="77777777">
        <w:trPr>
          <w:trHeight w:val="616"/>
        </w:trPr>
        <w:tc>
          <w:tcPr>
            <w:tcW w:w="4849" w:type="dxa"/>
          </w:tcPr>
          <w:p w14:paraId="598F2BC2" w14:textId="77777777" w:rsidR="00CC6F4F" w:rsidRDefault="00A35062">
            <w:pPr>
              <w:jc w:val="both"/>
            </w:pPr>
            <w:r>
              <w:t>8.1 Măsurile de punere în aplicare a proiectului de act normativ</w:t>
            </w:r>
          </w:p>
        </w:tc>
        <w:tc>
          <w:tcPr>
            <w:tcW w:w="5580" w:type="dxa"/>
          </w:tcPr>
          <w:p w14:paraId="598F2BC3" w14:textId="77777777" w:rsidR="00CC6F4F" w:rsidRDefault="00A35062">
            <w:pPr>
              <w:jc w:val="both"/>
            </w:pPr>
            <w:r>
              <w:rPr>
                <w:color w:val="000000"/>
              </w:rPr>
              <w:t>Nu este cazul.</w:t>
            </w:r>
          </w:p>
        </w:tc>
      </w:tr>
      <w:tr w:rsidR="00CC6F4F" w14:paraId="598F2BC7" w14:textId="77777777">
        <w:trPr>
          <w:trHeight w:val="56"/>
        </w:trPr>
        <w:tc>
          <w:tcPr>
            <w:tcW w:w="4849" w:type="dxa"/>
          </w:tcPr>
          <w:p w14:paraId="598F2BC5" w14:textId="77777777" w:rsidR="00CC6F4F" w:rsidRDefault="00A35062">
            <w:pPr>
              <w:jc w:val="both"/>
            </w:pPr>
            <w:r>
              <w:t>8.2. Alte informaţii</w:t>
            </w:r>
          </w:p>
        </w:tc>
        <w:tc>
          <w:tcPr>
            <w:tcW w:w="5580" w:type="dxa"/>
          </w:tcPr>
          <w:p w14:paraId="598F2BC6" w14:textId="77777777" w:rsidR="00CC6F4F" w:rsidRDefault="00A35062">
            <w:pPr>
              <w:pStyle w:val="Titlu1"/>
              <w:rPr>
                <w:b w:val="0"/>
                <w:sz w:val="24"/>
              </w:rPr>
            </w:pPr>
            <w:r>
              <w:rPr>
                <w:b w:val="0"/>
                <w:sz w:val="24"/>
              </w:rPr>
              <w:t>Nu au fost identificate.</w:t>
            </w:r>
          </w:p>
        </w:tc>
      </w:tr>
    </w:tbl>
    <w:p w14:paraId="598F2BC8" w14:textId="77777777" w:rsidR="00CC6F4F" w:rsidRDefault="00CC6F4F">
      <w:pPr>
        <w:jc w:val="both"/>
      </w:pPr>
    </w:p>
    <w:p w14:paraId="598F2BC9" w14:textId="77777777" w:rsidR="00CC6F4F" w:rsidRDefault="00CC6F4F">
      <w:pPr>
        <w:jc w:val="both"/>
      </w:pPr>
    </w:p>
    <w:p w14:paraId="598F2BCA" w14:textId="77777777" w:rsidR="00CC6F4F" w:rsidRDefault="00A35062">
      <w:pPr>
        <w:spacing w:line="276" w:lineRule="auto"/>
        <w:jc w:val="both"/>
      </w:pPr>
      <w:bookmarkStart w:id="2" w:name="_heading=h.1fob9te" w:colFirst="0" w:colLast="0"/>
      <w:bookmarkEnd w:id="2"/>
      <w:r>
        <w:t xml:space="preserve">Având în vedere cele de mai sus, a fost elaborat proiectul de </w:t>
      </w:r>
      <w:r>
        <w:rPr>
          <w:i/>
        </w:rPr>
        <w:t xml:space="preserve">Hotărâre privind înființarea </w:t>
      </w:r>
      <w:r>
        <w:rPr>
          <w:b/>
        </w:rPr>
        <w:t xml:space="preserve">Carpatica Feroviar SA </w:t>
      </w:r>
      <w:r>
        <w:t>pe care îl supunem spre adoptare Guvernului României.</w:t>
      </w:r>
    </w:p>
    <w:p w14:paraId="598F2BCB" w14:textId="77777777" w:rsidR="00CC6F4F" w:rsidRDefault="00CC6F4F">
      <w:pPr>
        <w:jc w:val="both"/>
      </w:pPr>
    </w:p>
    <w:p w14:paraId="598F2BCC" w14:textId="77777777" w:rsidR="00CC6F4F" w:rsidRDefault="00A35062">
      <w:pPr>
        <w:jc w:val="center"/>
        <w:rPr>
          <w:b/>
        </w:rPr>
      </w:pPr>
      <w:r>
        <w:rPr>
          <w:b/>
        </w:rPr>
        <w:t>MINISTRUL TRANSPORTURILOR ȘI INFRASTRUCTURII</w:t>
      </w:r>
    </w:p>
    <w:p w14:paraId="598F2BCD" w14:textId="77777777" w:rsidR="00CC6F4F" w:rsidRDefault="00A35062">
      <w:pPr>
        <w:jc w:val="center"/>
        <w:rPr>
          <w:b/>
        </w:rPr>
      </w:pPr>
      <w:r>
        <w:rPr>
          <w:b/>
        </w:rPr>
        <w:t>SORIN MIHAI GRINDEANU</w:t>
      </w:r>
    </w:p>
    <w:p w14:paraId="598F2BCE" w14:textId="77777777" w:rsidR="00CC6F4F" w:rsidRDefault="00CC6F4F">
      <w:pPr>
        <w:rPr>
          <w:b/>
        </w:rPr>
      </w:pPr>
    </w:p>
    <w:p w14:paraId="598F2BCF" w14:textId="77777777" w:rsidR="00CC6F4F" w:rsidRDefault="00CC6F4F">
      <w:pPr>
        <w:rPr>
          <w:b/>
        </w:rPr>
      </w:pPr>
    </w:p>
    <w:p w14:paraId="598F2BD0" w14:textId="77777777" w:rsidR="00CC6F4F" w:rsidRDefault="00CC6F4F">
      <w:pPr>
        <w:rPr>
          <w:b/>
        </w:rPr>
      </w:pPr>
    </w:p>
    <w:p w14:paraId="598F2BD1" w14:textId="77777777" w:rsidR="00CC6F4F" w:rsidRDefault="00CC6F4F">
      <w:pPr>
        <w:rPr>
          <w:b/>
        </w:rPr>
      </w:pPr>
    </w:p>
    <w:p w14:paraId="598F2BD2" w14:textId="77777777" w:rsidR="00CC6F4F" w:rsidRDefault="00A35062">
      <w:pPr>
        <w:ind w:right="140"/>
        <w:jc w:val="center"/>
        <w:rPr>
          <w:b/>
          <w:u w:val="single"/>
        </w:rPr>
      </w:pPr>
      <w:r>
        <w:rPr>
          <w:b/>
          <w:u w:val="single"/>
        </w:rPr>
        <w:t>AVIZAT</w:t>
      </w:r>
    </w:p>
    <w:p w14:paraId="598F2BD3" w14:textId="77777777" w:rsidR="00CC6F4F" w:rsidRDefault="00A35062">
      <w:pPr>
        <w:ind w:right="140"/>
        <w:jc w:val="center"/>
        <w:rPr>
          <w:b/>
        </w:rPr>
      </w:pPr>
      <w:r>
        <w:rPr>
          <w:b/>
        </w:rPr>
        <w:t>VICEPRIM-MINISTRU</w:t>
      </w:r>
    </w:p>
    <w:p w14:paraId="598F2BD4" w14:textId="77777777" w:rsidR="00CC6F4F" w:rsidRDefault="00A35062">
      <w:pPr>
        <w:ind w:right="140"/>
        <w:jc w:val="center"/>
        <w:rPr>
          <w:b/>
        </w:rPr>
      </w:pPr>
      <w:r>
        <w:rPr>
          <w:b/>
        </w:rPr>
        <w:t>MARIAN NEACȘU</w:t>
      </w:r>
    </w:p>
    <w:p w14:paraId="598F2BD5" w14:textId="77777777" w:rsidR="00CC6F4F" w:rsidRDefault="00CC6F4F">
      <w:pPr>
        <w:ind w:right="140"/>
        <w:jc w:val="center"/>
        <w:rPr>
          <w:b/>
        </w:rPr>
      </w:pPr>
    </w:p>
    <w:p w14:paraId="598F2BD6" w14:textId="77777777" w:rsidR="00CC6F4F" w:rsidRDefault="00CC6F4F">
      <w:pPr>
        <w:jc w:val="center"/>
        <w:rPr>
          <w:b/>
          <w:color w:val="000000"/>
        </w:rPr>
      </w:pPr>
    </w:p>
    <w:p w14:paraId="598F2BD7" w14:textId="77777777" w:rsidR="00CC6F4F" w:rsidRDefault="00CC6F4F">
      <w:pPr>
        <w:jc w:val="center"/>
        <w:rPr>
          <w:b/>
          <w:color w:val="000000"/>
        </w:rPr>
      </w:pPr>
    </w:p>
    <w:p w14:paraId="598F2BD9" w14:textId="77777777" w:rsidR="00CC6F4F" w:rsidRDefault="00CC6F4F">
      <w:pPr>
        <w:jc w:val="center"/>
        <w:rPr>
          <w:b/>
          <w:color w:val="000000"/>
        </w:rPr>
      </w:pPr>
    </w:p>
    <w:p w14:paraId="598F2BDA" w14:textId="77777777" w:rsidR="00CC6F4F" w:rsidRDefault="00A35062">
      <w:pPr>
        <w:spacing w:line="276" w:lineRule="auto"/>
        <w:jc w:val="center"/>
        <w:rPr>
          <w:b/>
        </w:rPr>
      </w:pPr>
      <w:r>
        <w:rPr>
          <w:b/>
        </w:rPr>
        <w:t xml:space="preserve">MINISTRUL FINANŢELOR </w:t>
      </w:r>
    </w:p>
    <w:p w14:paraId="598F2BDB" w14:textId="77777777" w:rsidR="00CC6F4F" w:rsidRDefault="00A35062">
      <w:pPr>
        <w:ind w:left="2880" w:firstLine="720"/>
        <w:rPr>
          <w:b/>
        </w:rPr>
      </w:pPr>
      <w:r>
        <w:rPr>
          <w:b/>
          <w:color w:val="000000"/>
          <w:highlight w:val="white"/>
        </w:rPr>
        <w:t>MARCEL-IOAN BOLOŞ</w:t>
      </w:r>
      <w:r>
        <w:rPr>
          <w:b/>
        </w:rPr>
        <w:t> </w:t>
      </w:r>
    </w:p>
    <w:p w14:paraId="598F2BDC" w14:textId="77777777" w:rsidR="00CC6F4F" w:rsidRDefault="00CC6F4F">
      <w:pPr>
        <w:rPr>
          <w:b/>
        </w:rPr>
      </w:pPr>
    </w:p>
    <w:p w14:paraId="598F2BDD" w14:textId="77777777" w:rsidR="00CC6F4F" w:rsidRDefault="00CC6F4F">
      <w:pPr>
        <w:rPr>
          <w:b/>
        </w:rPr>
      </w:pPr>
    </w:p>
    <w:p w14:paraId="598F2BDE" w14:textId="77777777" w:rsidR="00CC6F4F" w:rsidRDefault="00CC6F4F">
      <w:pPr>
        <w:rPr>
          <w:b/>
        </w:rPr>
      </w:pPr>
    </w:p>
    <w:p w14:paraId="598F2BDF" w14:textId="77777777" w:rsidR="00CC6F4F" w:rsidRDefault="00CC6F4F">
      <w:pPr>
        <w:rPr>
          <w:b/>
        </w:rPr>
      </w:pPr>
    </w:p>
    <w:p w14:paraId="598F2BE0" w14:textId="77777777" w:rsidR="00CC6F4F" w:rsidRDefault="00CC6F4F">
      <w:pPr>
        <w:rPr>
          <w:b/>
        </w:rPr>
      </w:pPr>
    </w:p>
    <w:p w14:paraId="598F2BE1" w14:textId="77777777" w:rsidR="00CC6F4F" w:rsidRDefault="00CC6F4F">
      <w:pPr>
        <w:rPr>
          <w:b/>
        </w:rPr>
      </w:pPr>
    </w:p>
    <w:p w14:paraId="598F2BE2" w14:textId="77777777" w:rsidR="00CC6F4F" w:rsidRDefault="00A35062">
      <w:pPr>
        <w:jc w:val="center"/>
        <w:rPr>
          <w:b/>
        </w:rPr>
      </w:pPr>
      <w:r>
        <w:rPr>
          <w:b/>
        </w:rPr>
        <w:t>MINISTRUL MUNCII ȘI SOLIDARITĂȚII SOCIALE</w:t>
      </w:r>
    </w:p>
    <w:p w14:paraId="598F2BE3" w14:textId="77777777" w:rsidR="00CC6F4F" w:rsidRDefault="00A35062">
      <w:pPr>
        <w:ind w:left="2880" w:firstLine="720"/>
        <w:rPr>
          <w:b/>
        </w:rPr>
      </w:pPr>
      <w:r>
        <w:rPr>
          <w:b/>
        </w:rPr>
        <w:t>SIMONA BUCURA-OPRESCU</w:t>
      </w:r>
    </w:p>
    <w:p w14:paraId="598F2BE4" w14:textId="77777777" w:rsidR="00CC6F4F" w:rsidRDefault="00CC6F4F">
      <w:pPr>
        <w:rPr>
          <w:b/>
        </w:rPr>
      </w:pPr>
    </w:p>
    <w:p w14:paraId="598F2BE5" w14:textId="77777777" w:rsidR="00CC6F4F" w:rsidRDefault="00CC6F4F">
      <w:pPr>
        <w:rPr>
          <w:b/>
        </w:rPr>
      </w:pPr>
    </w:p>
    <w:p w14:paraId="598F2BE6" w14:textId="77777777" w:rsidR="00CC6F4F" w:rsidRDefault="00CC6F4F">
      <w:pPr>
        <w:rPr>
          <w:b/>
        </w:rPr>
      </w:pPr>
    </w:p>
    <w:p w14:paraId="598F2BE8" w14:textId="77777777" w:rsidR="00CC6F4F" w:rsidRDefault="00CC6F4F">
      <w:pPr>
        <w:rPr>
          <w:b/>
        </w:rPr>
      </w:pPr>
    </w:p>
    <w:p w14:paraId="598F2BE9" w14:textId="77777777" w:rsidR="00CC6F4F" w:rsidRDefault="00A35062">
      <w:pPr>
        <w:jc w:val="center"/>
        <w:rPr>
          <w:b/>
        </w:rPr>
      </w:pPr>
      <w:r>
        <w:rPr>
          <w:b/>
        </w:rPr>
        <w:t>MINISTRUL APĂRĂRII NAȚIONALE</w:t>
      </w:r>
    </w:p>
    <w:p w14:paraId="598F2BEA" w14:textId="77777777" w:rsidR="00CC6F4F" w:rsidRDefault="00A35062">
      <w:pPr>
        <w:ind w:left="2880" w:firstLine="720"/>
        <w:rPr>
          <w:b/>
        </w:rPr>
      </w:pPr>
      <w:r>
        <w:rPr>
          <w:b/>
        </w:rPr>
        <w:t>ANGEL TÎLVĂR</w:t>
      </w:r>
    </w:p>
    <w:p w14:paraId="598F2BEB" w14:textId="77777777" w:rsidR="00CC6F4F" w:rsidRDefault="00CC6F4F">
      <w:pPr>
        <w:rPr>
          <w:b/>
        </w:rPr>
      </w:pPr>
    </w:p>
    <w:p w14:paraId="598F2BEC" w14:textId="77777777" w:rsidR="00CC6F4F" w:rsidRDefault="00CC6F4F">
      <w:pPr>
        <w:rPr>
          <w:b/>
        </w:rPr>
      </w:pPr>
    </w:p>
    <w:p w14:paraId="598F2BED" w14:textId="77777777" w:rsidR="00CC6F4F" w:rsidRDefault="00CC6F4F">
      <w:pPr>
        <w:rPr>
          <w:b/>
        </w:rPr>
      </w:pPr>
    </w:p>
    <w:p w14:paraId="598F2BF0" w14:textId="77777777" w:rsidR="00CC6F4F" w:rsidRDefault="00CC6F4F">
      <w:pPr>
        <w:rPr>
          <w:b/>
        </w:rPr>
      </w:pPr>
    </w:p>
    <w:p w14:paraId="598F2BF1" w14:textId="77777777" w:rsidR="00CC6F4F" w:rsidRDefault="00CC6F4F">
      <w:pPr>
        <w:rPr>
          <w:b/>
        </w:rPr>
      </w:pPr>
    </w:p>
    <w:p w14:paraId="598F2BF2" w14:textId="77777777" w:rsidR="00CC6F4F" w:rsidRDefault="00A35062">
      <w:pPr>
        <w:jc w:val="center"/>
        <w:rPr>
          <w:b/>
        </w:rPr>
      </w:pPr>
      <w:r>
        <w:rPr>
          <w:b/>
        </w:rPr>
        <w:t>MINISTRUL JUSTIŢIEI</w:t>
      </w:r>
    </w:p>
    <w:p w14:paraId="598F2BF3" w14:textId="77777777" w:rsidR="00CC6F4F" w:rsidRDefault="00A35062">
      <w:pPr>
        <w:spacing w:line="276" w:lineRule="auto"/>
        <w:jc w:val="center"/>
        <w:rPr>
          <w:b/>
          <w:color w:val="000000"/>
          <w:highlight w:val="white"/>
        </w:rPr>
      </w:pPr>
      <w:r>
        <w:rPr>
          <w:b/>
          <w:color w:val="000000"/>
          <w:highlight w:val="white"/>
        </w:rPr>
        <w:t>ALINA- ȘTEFANIA GORGHIU</w:t>
      </w:r>
    </w:p>
    <w:p w14:paraId="598F2BF4" w14:textId="77777777" w:rsidR="00CC6F4F" w:rsidRDefault="00CC6F4F">
      <w:pPr>
        <w:jc w:val="center"/>
        <w:rPr>
          <w:b/>
          <w:highlight w:val="white"/>
        </w:rPr>
      </w:pPr>
    </w:p>
    <w:p w14:paraId="598F2BF5" w14:textId="77777777" w:rsidR="00CC6F4F" w:rsidRDefault="00CC6F4F">
      <w:pPr>
        <w:jc w:val="center"/>
        <w:rPr>
          <w:b/>
        </w:rPr>
      </w:pPr>
    </w:p>
    <w:p w14:paraId="598F2BF6" w14:textId="77777777" w:rsidR="00CC6F4F" w:rsidRDefault="00A35062">
      <w:pPr>
        <w:jc w:val="center"/>
        <w:rPr>
          <w:b/>
        </w:rPr>
      </w:pPr>
      <w:r>
        <w:rPr>
          <w:b/>
        </w:rPr>
        <w:t>SECRETAR DE STAT</w:t>
      </w:r>
    </w:p>
    <w:p w14:paraId="598F2BF7" w14:textId="77777777" w:rsidR="00CC6F4F" w:rsidRDefault="00A35062">
      <w:pPr>
        <w:jc w:val="center"/>
        <w:rPr>
          <w:b/>
        </w:rPr>
      </w:pPr>
      <w:r>
        <w:rPr>
          <w:b/>
        </w:rPr>
        <w:t>IONUȚ-CRISTIAN SĂVOIU</w:t>
      </w:r>
    </w:p>
    <w:p w14:paraId="598F2BF8" w14:textId="77777777" w:rsidR="00CC6F4F" w:rsidRDefault="00CC6F4F">
      <w:pPr>
        <w:rPr>
          <w:b/>
        </w:rPr>
      </w:pPr>
    </w:p>
    <w:p w14:paraId="598F2BF9" w14:textId="77777777" w:rsidR="00CC6F4F" w:rsidRDefault="00CC6F4F">
      <w:pPr>
        <w:rPr>
          <w:b/>
        </w:rPr>
      </w:pPr>
    </w:p>
    <w:p w14:paraId="598F2BFA" w14:textId="77777777" w:rsidR="00CC6F4F" w:rsidRDefault="00CC6F4F">
      <w:pPr>
        <w:rPr>
          <w:b/>
        </w:rPr>
      </w:pPr>
    </w:p>
    <w:p w14:paraId="598F2BFB" w14:textId="77777777" w:rsidR="00CC6F4F" w:rsidRDefault="00CC6F4F">
      <w:pPr>
        <w:rPr>
          <w:b/>
        </w:rPr>
      </w:pPr>
    </w:p>
    <w:p w14:paraId="598F2BFC" w14:textId="77777777" w:rsidR="00CC6F4F" w:rsidRDefault="00CC6F4F">
      <w:pPr>
        <w:rPr>
          <w:b/>
        </w:rPr>
      </w:pPr>
    </w:p>
    <w:p w14:paraId="598F2BFD" w14:textId="77777777" w:rsidR="00CC6F4F" w:rsidRDefault="00A35062">
      <w:pPr>
        <w:jc w:val="center"/>
        <w:rPr>
          <w:b/>
        </w:rPr>
      </w:pPr>
      <w:r>
        <w:rPr>
          <w:b/>
        </w:rPr>
        <w:t xml:space="preserve">SECRETAR GENERAL </w:t>
      </w:r>
    </w:p>
    <w:p w14:paraId="598F2BFE" w14:textId="77777777" w:rsidR="00CC6F4F" w:rsidRDefault="00A35062">
      <w:pPr>
        <w:jc w:val="center"/>
        <w:rPr>
          <w:b/>
        </w:rPr>
      </w:pPr>
      <w:r>
        <w:rPr>
          <w:b/>
        </w:rPr>
        <w:t>MARIANA IONIȚĂ</w:t>
      </w:r>
    </w:p>
    <w:p w14:paraId="598F2BFF" w14:textId="77777777" w:rsidR="00CC6F4F" w:rsidRDefault="00CC6F4F">
      <w:pPr>
        <w:rPr>
          <w:b/>
        </w:rPr>
      </w:pPr>
    </w:p>
    <w:p w14:paraId="598F2C00" w14:textId="77777777" w:rsidR="00CC6F4F" w:rsidRDefault="00CC6F4F">
      <w:pPr>
        <w:jc w:val="center"/>
        <w:rPr>
          <w:b/>
        </w:rPr>
      </w:pPr>
    </w:p>
    <w:p w14:paraId="598F2C01" w14:textId="77777777" w:rsidR="00CC6F4F" w:rsidRDefault="00CC6F4F">
      <w:pPr>
        <w:jc w:val="center"/>
        <w:rPr>
          <w:b/>
        </w:rPr>
      </w:pPr>
    </w:p>
    <w:p w14:paraId="598F2C02" w14:textId="77777777" w:rsidR="00CC6F4F" w:rsidRDefault="00A35062">
      <w:pPr>
        <w:jc w:val="center"/>
        <w:rPr>
          <w:b/>
        </w:rPr>
      </w:pPr>
      <w:r>
        <w:rPr>
          <w:b/>
        </w:rPr>
        <w:t xml:space="preserve"> </w:t>
      </w:r>
    </w:p>
    <w:p w14:paraId="598F2C03" w14:textId="77777777" w:rsidR="00CC6F4F" w:rsidRDefault="00CC6F4F">
      <w:pPr>
        <w:jc w:val="center"/>
        <w:rPr>
          <w:b/>
        </w:rPr>
      </w:pPr>
    </w:p>
    <w:p w14:paraId="598F2C04" w14:textId="77777777" w:rsidR="00CC6F4F" w:rsidRDefault="00A35062">
      <w:pPr>
        <w:jc w:val="center"/>
        <w:rPr>
          <w:b/>
        </w:rPr>
      </w:pPr>
      <w:r>
        <w:rPr>
          <w:b/>
        </w:rPr>
        <w:t>SECRETAR GENERAL ADJUNCT</w:t>
      </w:r>
    </w:p>
    <w:p w14:paraId="598F2C05" w14:textId="77777777" w:rsidR="00CC6F4F" w:rsidRDefault="00A35062">
      <w:pPr>
        <w:jc w:val="center"/>
        <w:rPr>
          <w:b/>
        </w:rPr>
      </w:pPr>
      <w:r>
        <w:rPr>
          <w:b/>
        </w:rPr>
        <w:t>ADRIAN-DANIEL GĂVRUȚA</w:t>
      </w:r>
    </w:p>
    <w:p w14:paraId="598F2C06" w14:textId="77777777" w:rsidR="00CC6F4F" w:rsidRDefault="00CC6F4F">
      <w:pPr>
        <w:jc w:val="center"/>
        <w:rPr>
          <w:b/>
        </w:rPr>
      </w:pPr>
    </w:p>
    <w:p w14:paraId="598F2C07" w14:textId="77777777" w:rsidR="00CC6F4F" w:rsidRDefault="00CC6F4F">
      <w:pPr>
        <w:rPr>
          <w:b/>
        </w:rPr>
      </w:pPr>
    </w:p>
    <w:p w14:paraId="598F2C08" w14:textId="77777777" w:rsidR="00CC6F4F" w:rsidRDefault="00CC6F4F">
      <w:pPr>
        <w:rPr>
          <w:b/>
        </w:rPr>
      </w:pPr>
    </w:p>
    <w:p w14:paraId="598F2C09" w14:textId="77777777" w:rsidR="00CC6F4F" w:rsidRDefault="00CC6F4F">
      <w:pPr>
        <w:rPr>
          <w:b/>
        </w:rPr>
      </w:pPr>
    </w:p>
    <w:p w14:paraId="598F2C0A" w14:textId="77777777" w:rsidR="00CC6F4F" w:rsidRDefault="00CC6F4F">
      <w:pPr>
        <w:rPr>
          <w:b/>
        </w:rPr>
      </w:pPr>
    </w:p>
    <w:p w14:paraId="598F2C0B" w14:textId="77777777" w:rsidR="00CC6F4F" w:rsidRDefault="00CC6F4F">
      <w:pPr>
        <w:rPr>
          <w:b/>
        </w:rPr>
      </w:pPr>
    </w:p>
    <w:p w14:paraId="598F2C0C" w14:textId="77777777" w:rsidR="00CC6F4F" w:rsidRDefault="00A35062">
      <w:pPr>
        <w:jc w:val="center"/>
        <w:rPr>
          <w:b/>
          <w:color w:val="000000"/>
        </w:rPr>
      </w:pPr>
      <w:r>
        <w:rPr>
          <w:b/>
          <w:color w:val="000000"/>
        </w:rPr>
        <w:t>DIRECȚIA GENERALĂ JURIDICĂ</w:t>
      </w:r>
    </w:p>
    <w:p w14:paraId="598F2C0D" w14:textId="77777777" w:rsidR="00CC6F4F" w:rsidRDefault="00A35062">
      <w:pPr>
        <w:jc w:val="center"/>
        <w:rPr>
          <w:b/>
          <w:color w:val="000000"/>
        </w:rPr>
      </w:pPr>
      <w:r>
        <w:rPr>
          <w:b/>
          <w:color w:val="000000"/>
        </w:rPr>
        <w:t>DIRECTOR GENERAL</w:t>
      </w:r>
    </w:p>
    <w:p w14:paraId="598F2C0E" w14:textId="77777777" w:rsidR="00CC6F4F" w:rsidRDefault="00A35062">
      <w:pPr>
        <w:jc w:val="center"/>
        <w:rPr>
          <w:b/>
          <w:color w:val="000000"/>
        </w:rPr>
      </w:pPr>
      <w:r>
        <w:rPr>
          <w:b/>
          <w:color w:val="000000"/>
        </w:rPr>
        <w:t>MARIUS TOADER</w:t>
      </w:r>
    </w:p>
    <w:p w14:paraId="598F2C0F" w14:textId="77777777" w:rsidR="00CC6F4F" w:rsidRDefault="00CC6F4F">
      <w:pPr>
        <w:jc w:val="center"/>
        <w:rPr>
          <w:b/>
        </w:rPr>
      </w:pPr>
    </w:p>
    <w:p w14:paraId="598F2C10" w14:textId="77777777" w:rsidR="00CC6F4F" w:rsidRDefault="00CC6F4F">
      <w:pPr>
        <w:jc w:val="center"/>
        <w:rPr>
          <w:b/>
        </w:rPr>
      </w:pPr>
    </w:p>
    <w:p w14:paraId="598F2C11" w14:textId="77777777" w:rsidR="00CC6F4F" w:rsidRDefault="00CC6F4F">
      <w:pPr>
        <w:jc w:val="center"/>
        <w:rPr>
          <w:b/>
        </w:rPr>
      </w:pPr>
    </w:p>
    <w:p w14:paraId="598F2C12" w14:textId="77777777" w:rsidR="00CC6F4F" w:rsidRDefault="00CC6F4F">
      <w:pPr>
        <w:rPr>
          <w:b/>
        </w:rPr>
      </w:pPr>
    </w:p>
    <w:p w14:paraId="598F2C13" w14:textId="77777777" w:rsidR="00CC6F4F" w:rsidRDefault="00A35062">
      <w:pPr>
        <w:jc w:val="center"/>
        <w:rPr>
          <w:b/>
          <w:color w:val="000000"/>
        </w:rPr>
      </w:pPr>
      <w:r>
        <w:rPr>
          <w:b/>
          <w:color w:val="000000"/>
        </w:rPr>
        <w:t>DIRECŢIA  GUVERNANȚĂ CORPORATIVĂ</w:t>
      </w:r>
    </w:p>
    <w:p w14:paraId="598F2C14" w14:textId="77777777" w:rsidR="00CC6F4F" w:rsidRDefault="00A35062">
      <w:pPr>
        <w:jc w:val="center"/>
        <w:rPr>
          <w:b/>
          <w:color w:val="000000"/>
        </w:rPr>
      </w:pPr>
      <w:r>
        <w:rPr>
          <w:b/>
          <w:color w:val="000000"/>
        </w:rPr>
        <w:t>DIRECTOR</w:t>
      </w:r>
    </w:p>
    <w:p w14:paraId="598F2C15" w14:textId="77777777" w:rsidR="00CC6F4F" w:rsidRDefault="00A35062">
      <w:pPr>
        <w:jc w:val="center"/>
        <w:rPr>
          <w:b/>
          <w:color w:val="000000"/>
        </w:rPr>
      </w:pPr>
      <w:r>
        <w:rPr>
          <w:b/>
          <w:color w:val="000000"/>
        </w:rPr>
        <w:t>VALENTIN PURCĂREAȚĂ</w:t>
      </w:r>
    </w:p>
    <w:p w14:paraId="598F2C16" w14:textId="77777777" w:rsidR="00CC6F4F" w:rsidRDefault="00CC6F4F">
      <w:pPr>
        <w:jc w:val="center"/>
        <w:rPr>
          <w:b/>
          <w:color w:val="000000"/>
        </w:rPr>
      </w:pPr>
    </w:p>
    <w:p w14:paraId="598F2C17" w14:textId="77777777" w:rsidR="00CC6F4F" w:rsidRDefault="00CC6F4F">
      <w:pPr>
        <w:jc w:val="center"/>
        <w:rPr>
          <w:b/>
          <w:color w:val="000000"/>
        </w:rPr>
      </w:pPr>
    </w:p>
    <w:p w14:paraId="598F2C18" w14:textId="77777777" w:rsidR="00CC6F4F" w:rsidRDefault="00CC6F4F">
      <w:pPr>
        <w:jc w:val="center"/>
        <w:rPr>
          <w:b/>
          <w:color w:val="000000"/>
        </w:rPr>
      </w:pPr>
    </w:p>
    <w:p w14:paraId="598F2C19" w14:textId="77777777" w:rsidR="00CC6F4F" w:rsidRDefault="00A35062">
      <w:pPr>
        <w:jc w:val="both"/>
        <w:rPr>
          <w:b/>
        </w:rPr>
      </w:pPr>
      <w:r>
        <w:rPr>
          <w:b/>
        </w:rPr>
        <w:t xml:space="preserve">                        </w:t>
      </w:r>
    </w:p>
    <w:p w14:paraId="598F2C1A" w14:textId="77777777" w:rsidR="00CC6F4F" w:rsidRDefault="00A35062">
      <w:pPr>
        <w:jc w:val="both"/>
        <w:rPr>
          <w:b/>
        </w:rPr>
      </w:pPr>
      <w:r>
        <w:rPr>
          <w:b/>
        </w:rPr>
        <w:t xml:space="preserve"> </w:t>
      </w:r>
    </w:p>
    <w:p w14:paraId="598F2C1B" w14:textId="77777777" w:rsidR="00CC6F4F" w:rsidRDefault="00CC6F4F">
      <w:pPr>
        <w:jc w:val="both"/>
        <w:rPr>
          <w:b/>
        </w:rPr>
      </w:pPr>
    </w:p>
    <w:p w14:paraId="598F2C1C" w14:textId="77777777" w:rsidR="00CC6F4F" w:rsidRDefault="00A35062">
      <w:pPr>
        <w:jc w:val="both"/>
        <w:rPr>
          <w:b/>
        </w:rPr>
      </w:pPr>
      <w:r>
        <w:rPr>
          <w:b/>
        </w:rPr>
        <w:t xml:space="preserve">             </w:t>
      </w:r>
      <w:r>
        <w:rPr>
          <w:b/>
        </w:rPr>
        <w:tab/>
      </w:r>
      <w:r>
        <w:rPr>
          <w:b/>
        </w:rPr>
        <w:tab/>
      </w:r>
      <w:r>
        <w:rPr>
          <w:b/>
        </w:rPr>
        <w:tab/>
      </w:r>
      <w:r>
        <w:rPr>
          <w:b/>
        </w:rPr>
        <w:tab/>
        <w:t xml:space="preserve">DIRECȚIA ECONOMICĂ </w:t>
      </w:r>
    </w:p>
    <w:p w14:paraId="598F2C1D" w14:textId="77777777" w:rsidR="00CC6F4F" w:rsidRDefault="00A35062">
      <w:pPr>
        <w:jc w:val="center"/>
        <w:rPr>
          <w:b/>
        </w:rPr>
      </w:pPr>
      <w:r>
        <w:rPr>
          <w:b/>
        </w:rPr>
        <w:t>DIRECTOR</w:t>
      </w:r>
    </w:p>
    <w:p w14:paraId="598F2C1E" w14:textId="77777777" w:rsidR="00CC6F4F" w:rsidRDefault="00A35062">
      <w:pPr>
        <w:jc w:val="center"/>
        <w:rPr>
          <w:b/>
        </w:rPr>
      </w:pPr>
      <w:r>
        <w:rPr>
          <w:b/>
        </w:rPr>
        <w:t>LAURA - DIANA GÎRLĂ</w:t>
      </w:r>
    </w:p>
    <w:p w14:paraId="598F2C1F" w14:textId="77777777" w:rsidR="00CC6F4F" w:rsidRDefault="00CC6F4F">
      <w:pPr>
        <w:rPr>
          <w:b/>
        </w:rPr>
      </w:pPr>
    </w:p>
    <w:p w14:paraId="598F2C20" w14:textId="77777777" w:rsidR="00CC6F4F" w:rsidRDefault="00CC6F4F">
      <w:pPr>
        <w:rPr>
          <w:b/>
        </w:rPr>
      </w:pPr>
    </w:p>
    <w:p w14:paraId="598F2C21" w14:textId="77777777" w:rsidR="00CC6F4F" w:rsidRDefault="00CC6F4F">
      <w:pPr>
        <w:rPr>
          <w:b/>
        </w:rPr>
      </w:pPr>
    </w:p>
    <w:p w14:paraId="598F2C22" w14:textId="77777777" w:rsidR="00CC6F4F" w:rsidRDefault="00CC6F4F">
      <w:pPr>
        <w:rPr>
          <w:b/>
        </w:rPr>
      </w:pPr>
    </w:p>
    <w:p w14:paraId="598F2C23" w14:textId="77777777" w:rsidR="00CC6F4F" w:rsidRDefault="00CC6F4F">
      <w:pPr>
        <w:rPr>
          <w:b/>
        </w:rPr>
      </w:pPr>
    </w:p>
    <w:p w14:paraId="598F2C24" w14:textId="77777777" w:rsidR="00CC6F4F" w:rsidRDefault="00A35062">
      <w:pPr>
        <w:jc w:val="center"/>
        <w:rPr>
          <w:b/>
        </w:rPr>
      </w:pPr>
      <w:r>
        <w:rPr>
          <w:b/>
        </w:rPr>
        <w:t>DIRECŢIA TRANSPORT FEROVIAR</w:t>
      </w:r>
    </w:p>
    <w:p w14:paraId="598F2C25" w14:textId="77777777" w:rsidR="00CC6F4F" w:rsidRDefault="00A35062">
      <w:pPr>
        <w:jc w:val="center"/>
        <w:rPr>
          <w:b/>
        </w:rPr>
      </w:pPr>
      <w:r>
        <w:rPr>
          <w:b/>
        </w:rPr>
        <w:t>DIRECTOR</w:t>
      </w:r>
    </w:p>
    <w:p w14:paraId="598F2C26" w14:textId="77777777" w:rsidR="00CC6F4F" w:rsidRDefault="00A35062">
      <w:pPr>
        <w:jc w:val="center"/>
        <w:rPr>
          <w:b/>
        </w:rPr>
      </w:pPr>
      <w:r>
        <w:rPr>
          <w:b/>
        </w:rPr>
        <w:t>ADELA VLĂDUȚ</w:t>
      </w:r>
    </w:p>
    <w:p w14:paraId="598F2C27" w14:textId="77777777" w:rsidR="00CC6F4F" w:rsidRDefault="00CC6F4F">
      <w:pPr>
        <w:jc w:val="center"/>
        <w:rPr>
          <w:b/>
        </w:rPr>
      </w:pPr>
    </w:p>
    <w:p w14:paraId="598F2C28" w14:textId="77777777" w:rsidR="00CC6F4F" w:rsidRDefault="00CC6F4F">
      <w:pPr>
        <w:rPr>
          <w:b/>
          <w:color w:val="000000"/>
          <w:highlight w:val="white"/>
        </w:rPr>
      </w:pPr>
    </w:p>
    <w:sectPr w:rsidR="00CC6F4F">
      <w:footerReference w:type="even" r:id="rId9"/>
      <w:footerReference w:type="default" r:id="rId10"/>
      <w:pgSz w:w="11907" w:h="16840"/>
      <w:pgMar w:top="1170" w:right="851" w:bottom="810" w:left="1418" w:header="720" w:footer="72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ACF2" w14:textId="77777777" w:rsidR="001D46D2" w:rsidRDefault="001D46D2">
      <w:r>
        <w:separator/>
      </w:r>
    </w:p>
  </w:endnote>
  <w:endnote w:type="continuationSeparator" w:id="0">
    <w:p w14:paraId="26DC2F12" w14:textId="77777777" w:rsidR="001D46D2" w:rsidRDefault="001D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2C2A" w14:textId="77777777" w:rsidR="00CC6F4F" w:rsidRDefault="00A3506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98F2C2B" w14:textId="77777777" w:rsidR="00CC6F4F" w:rsidRDefault="00CC6F4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2C2C" w14:textId="541E17C2" w:rsidR="00CC6F4F" w:rsidRDefault="00A3506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76422F">
      <w:rPr>
        <w:noProof/>
        <w:color w:val="000000"/>
      </w:rPr>
      <w:t>1</w:t>
    </w:r>
    <w:r>
      <w:rPr>
        <w:color w:val="000000"/>
      </w:rPr>
      <w:fldChar w:fldCharType="end"/>
    </w:r>
  </w:p>
  <w:p w14:paraId="598F2C2D" w14:textId="77777777" w:rsidR="00CC6F4F" w:rsidRDefault="00CC6F4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905C" w14:textId="77777777" w:rsidR="001D46D2" w:rsidRDefault="001D46D2">
      <w:r>
        <w:separator/>
      </w:r>
    </w:p>
  </w:footnote>
  <w:footnote w:type="continuationSeparator" w:id="0">
    <w:p w14:paraId="02D01048" w14:textId="77777777" w:rsidR="001D46D2" w:rsidRDefault="001D4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7CC"/>
    <w:multiLevelType w:val="multilevel"/>
    <w:tmpl w:val="203CF5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D21C8"/>
    <w:multiLevelType w:val="multilevel"/>
    <w:tmpl w:val="405EE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57535"/>
    <w:multiLevelType w:val="multilevel"/>
    <w:tmpl w:val="78AE08AC"/>
    <w:lvl w:ilvl="0">
      <w:start w:val="3"/>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D4F4BC4"/>
    <w:multiLevelType w:val="multilevel"/>
    <w:tmpl w:val="B4D4A2E4"/>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B04925"/>
    <w:multiLevelType w:val="multilevel"/>
    <w:tmpl w:val="95A2E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C01C0F"/>
    <w:multiLevelType w:val="multilevel"/>
    <w:tmpl w:val="2D2EA49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DA221A"/>
    <w:multiLevelType w:val="multilevel"/>
    <w:tmpl w:val="E7809A46"/>
    <w:lvl w:ilvl="0">
      <w:start w:val="3"/>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54C3C9D"/>
    <w:multiLevelType w:val="multilevel"/>
    <w:tmpl w:val="12A6AAA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AE7AFC"/>
    <w:multiLevelType w:val="multilevel"/>
    <w:tmpl w:val="C854B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65472A"/>
    <w:multiLevelType w:val="multilevel"/>
    <w:tmpl w:val="AD80A1F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490AD0"/>
    <w:multiLevelType w:val="multilevel"/>
    <w:tmpl w:val="0CDA573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10007C"/>
    <w:multiLevelType w:val="multilevel"/>
    <w:tmpl w:val="9364DC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0E63A0"/>
    <w:multiLevelType w:val="multilevel"/>
    <w:tmpl w:val="7D80FBC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4278DC"/>
    <w:multiLevelType w:val="multilevel"/>
    <w:tmpl w:val="DB84F41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462277"/>
    <w:multiLevelType w:val="multilevel"/>
    <w:tmpl w:val="B65EC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F14AC2"/>
    <w:multiLevelType w:val="multilevel"/>
    <w:tmpl w:val="67E05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E825D8"/>
    <w:multiLevelType w:val="multilevel"/>
    <w:tmpl w:val="253CC3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6288731">
    <w:abstractNumId w:val="13"/>
  </w:num>
  <w:num w:numId="2" w16cid:durableId="2130321671">
    <w:abstractNumId w:val="15"/>
  </w:num>
  <w:num w:numId="3" w16cid:durableId="249318735">
    <w:abstractNumId w:val="12"/>
  </w:num>
  <w:num w:numId="4" w16cid:durableId="594018900">
    <w:abstractNumId w:val="16"/>
  </w:num>
  <w:num w:numId="5" w16cid:durableId="2132048396">
    <w:abstractNumId w:val="3"/>
  </w:num>
  <w:num w:numId="6" w16cid:durableId="1535967420">
    <w:abstractNumId w:val="10"/>
  </w:num>
  <w:num w:numId="7" w16cid:durableId="1168861414">
    <w:abstractNumId w:val="1"/>
  </w:num>
  <w:num w:numId="8" w16cid:durableId="590043756">
    <w:abstractNumId w:val="7"/>
  </w:num>
  <w:num w:numId="9" w16cid:durableId="357706679">
    <w:abstractNumId w:val="8"/>
  </w:num>
  <w:num w:numId="10" w16cid:durableId="133183396">
    <w:abstractNumId w:val="6"/>
  </w:num>
  <w:num w:numId="11" w16cid:durableId="1845394390">
    <w:abstractNumId w:val="5"/>
  </w:num>
  <w:num w:numId="12" w16cid:durableId="1528761087">
    <w:abstractNumId w:val="2"/>
  </w:num>
  <w:num w:numId="13" w16cid:durableId="1953243183">
    <w:abstractNumId w:val="0"/>
  </w:num>
  <w:num w:numId="14" w16cid:durableId="1391223676">
    <w:abstractNumId w:val="4"/>
  </w:num>
  <w:num w:numId="15" w16cid:durableId="1617060674">
    <w:abstractNumId w:val="11"/>
  </w:num>
  <w:num w:numId="16" w16cid:durableId="1508714060">
    <w:abstractNumId w:val="14"/>
  </w:num>
  <w:num w:numId="17" w16cid:durableId="175771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4F"/>
    <w:rsid w:val="000C042E"/>
    <w:rsid w:val="001D46D2"/>
    <w:rsid w:val="001D64DB"/>
    <w:rsid w:val="0046744E"/>
    <w:rsid w:val="00590B01"/>
    <w:rsid w:val="00641067"/>
    <w:rsid w:val="006C02FC"/>
    <w:rsid w:val="0076422F"/>
    <w:rsid w:val="008B0C32"/>
    <w:rsid w:val="009908D8"/>
    <w:rsid w:val="00A35062"/>
    <w:rsid w:val="00B516C4"/>
    <w:rsid w:val="00B6007C"/>
    <w:rsid w:val="00CC6F4F"/>
    <w:rsid w:val="00D6063D"/>
    <w:rsid w:val="00EB57FF"/>
    <w:rsid w:val="00FE2261"/>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29C9"/>
  <w15:docId w15:val="{2EDC1E70-C737-4FE6-AEBC-D333A0DA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59"/>
    <w:rPr>
      <w:lang w:eastAsia="ro-RO"/>
    </w:rPr>
  </w:style>
  <w:style w:type="paragraph" w:styleId="Titlu1">
    <w:name w:val="heading 1"/>
    <w:basedOn w:val="Normal"/>
    <w:next w:val="Normal"/>
    <w:link w:val="Titlu1Caracter"/>
    <w:uiPriority w:val="9"/>
    <w:qFormat/>
    <w:rsid w:val="004C062F"/>
    <w:pPr>
      <w:keepNext/>
      <w:jc w:val="both"/>
      <w:outlineLvl w:val="0"/>
    </w:pPr>
    <w:rPr>
      <w:b/>
      <w:bCs/>
      <w:sz w:val="20"/>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rsid w:val="004C062F"/>
    <w:pPr>
      <w:keepNext/>
      <w:spacing w:line="360" w:lineRule="auto"/>
      <w:jc w:val="center"/>
      <w:outlineLvl w:val="2"/>
    </w:pPr>
    <w:rPr>
      <w:rFonts w:ascii="Arial" w:hAnsi="Arial"/>
      <w:b/>
      <w:color w:val="000000"/>
      <w:szCs w:val="20"/>
      <w:lang w:eastAsia="en-US"/>
    </w:rPr>
  </w:style>
  <w:style w:type="paragraph" w:styleId="Titlu4">
    <w:name w:val="heading 4"/>
    <w:basedOn w:val="Normal"/>
    <w:next w:val="Normal"/>
    <w:link w:val="Titlu4Caracter"/>
    <w:uiPriority w:val="9"/>
    <w:semiHidden/>
    <w:unhideWhenUsed/>
    <w:qFormat/>
    <w:rsid w:val="004C062F"/>
    <w:pPr>
      <w:keepNext/>
      <w:jc w:val="center"/>
      <w:outlineLvl w:val="3"/>
    </w:pPr>
    <w:rPr>
      <w:rFonts w:eastAsia="Arial Unicode MS"/>
      <w:b/>
      <w:szCs w:val="20"/>
    </w:rPr>
  </w:style>
  <w:style w:type="paragraph" w:styleId="Titlu5">
    <w:name w:val="heading 5"/>
    <w:basedOn w:val="Normal"/>
    <w:next w:val="Normal"/>
    <w:link w:val="Titlu5Caracter"/>
    <w:uiPriority w:val="9"/>
    <w:semiHidden/>
    <w:unhideWhenUsed/>
    <w:qFormat/>
    <w:rsid w:val="004C062F"/>
    <w:pPr>
      <w:keepNext/>
      <w:jc w:val="center"/>
      <w:outlineLvl w:val="4"/>
    </w:pPr>
    <w:rPr>
      <w:b/>
      <w:u w:val="single"/>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Corptext">
    <w:name w:val="Body Text"/>
    <w:basedOn w:val="Normal"/>
    <w:rsid w:val="004C062F"/>
    <w:pPr>
      <w:jc w:val="both"/>
    </w:pPr>
    <w:rPr>
      <w:sz w:val="32"/>
      <w:szCs w:val="20"/>
      <w:lang w:val="en-US" w:eastAsia="en-US"/>
    </w:rPr>
  </w:style>
  <w:style w:type="paragraph" w:styleId="Corptext3">
    <w:name w:val="Body Text 3"/>
    <w:basedOn w:val="Normal"/>
    <w:rsid w:val="004C062F"/>
    <w:pPr>
      <w:spacing w:after="120"/>
    </w:pPr>
    <w:rPr>
      <w:sz w:val="16"/>
      <w:szCs w:val="16"/>
    </w:rPr>
  </w:style>
  <w:style w:type="paragraph" w:styleId="Subsol">
    <w:name w:val="footer"/>
    <w:basedOn w:val="Normal"/>
    <w:link w:val="SubsolCaracter"/>
    <w:uiPriority w:val="99"/>
    <w:rsid w:val="004C062F"/>
    <w:pPr>
      <w:tabs>
        <w:tab w:val="center" w:pos="4320"/>
        <w:tab w:val="right" w:pos="8640"/>
      </w:tabs>
    </w:pPr>
  </w:style>
  <w:style w:type="paragraph" w:customStyle="1" w:styleId="StyleNORMALArialFirstline0cm">
    <w:name w:val="Style NORMAL + Arial First line:  0 cm"/>
    <w:basedOn w:val="Normal"/>
    <w:rsid w:val="004C062F"/>
    <w:pPr>
      <w:spacing w:before="120" w:after="240"/>
      <w:jc w:val="both"/>
    </w:pPr>
    <w:rPr>
      <w:rFonts w:ascii="Arial" w:hAnsi="Arial"/>
      <w:lang w:val="en-GB"/>
    </w:rPr>
  </w:style>
  <w:style w:type="character" w:styleId="Numrdepagin">
    <w:name w:val="page number"/>
    <w:basedOn w:val="Fontdeparagrafimplicit"/>
    <w:rsid w:val="004C062F"/>
  </w:style>
  <w:style w:type="table" w:styleId="Tabelgril">
    <w:name w:val="Table Grid"/>
    <w:basedOn w:val="TabelNormal"/>
    <w:rsid w:val="0054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sid w:val="0059574A"/>
    <w:rPr>
      <w:b/>
      <w:bCs/>
      <w:sz w:val="26"/>
      <w:szCs w:val="26"/>
    </w:rPr>
  </w:style>
  <w:style w:type="character" w:customStyle="1" w:styleId="tpa1">
    <w:name w:val="tpa1"/>
    <w:basedOn w:val="Fontdeparagrafimplicit"/>
    <w:rsid w:val="00FF2FF1"/>
  </w:style>
  <w:style w:type="paragraph" w:customStyle="1" w:styleId="Normal1">
    <w:name w:val="Normal1"/>
    <w:link w:val="NORMALChar"/>
    <w:rsid w:val="009D2E0E"/>
    <w:pPr>
      <w:spacing w:line="360" w:lineRule="auto"/>
      <w:ind w:left="965"/>
      <w:jc w:val="both"/>
    </w:pPr>
    <w:rPr>
      <w:rFonts w:ascii="Arial" w:hAnsi="Arial"/>
      <w:lang w:val="en-GB"/>
    </w:rPr>
  </w:style>
  <w:style w:type="character" w:customStyle="1" w:styleId="NORMALChar">
    <w:name w:val="NORMAL Char"/>
    <w:link w:val="Normal1"/>
    <w:rsid w:val="009D2E0E"/>
    <w:rPr>
      <w:rFonts w:ascii="Arial" w:hAnsi="Arial"/>
      <w:sz w:val="24"/>
      <w:lang w:val="en-GB" w:eastAsia="en-US" w:bidi="ar-SA"/>
    </w:rPr>
  </w:style>
  <w:style w:type="paragraph" w:styleId="Plandocument">
    <w:name w:val="Document Map"/>
    <w:basedOn w:val="Normal"/>
    <w:semiHidden/>
    <w:rsid w:val="00904260"/>
    <w:pPr>
      <w:shd w:val="clear" w:color="auto" w:fill="000080"/>
    </w:pPr>
    <w:rPr>
      <w:rFonts w:ascii="Tahoma" w:hAnsi="Tahoma" w:cs="Tahoma"/>
      <w:sz w:val="20"/>
      <w:szCs w:val="20"/>
    </w:rPr>
  </w:style>
  <w:style w:type="paragraph" w:customStyle="1" w:styleId="CharCharCharChar1CharChar">
    <w:name w:val="Char Char Char Char1 Char Char"/>
    <w:basedOn w:val="Indentnormal"/>
    <w:rsid w:val="00904260"/>
    <w:pPr>
      <w:spacing w:before="120" w:after="240" w:line="240" w:lineRule="atLeast"/>
      <w:ind w:left="0"/>
    </w:pPr>
    <w:rPr>
      <w:rFonts w:ascii="Tahoma" w:hAnsi="Tahoma" w:cs="Arial"/>
      <w:sz w:val="20"/>
      <w:szCs w:val="20"/>
      <w:lang w:val="en-GB" w:eastAsia="en-US"/>
    </w:rPr>
  </w:style>
  <w:style w:type="paragraph" w:styleId="Indentnormal">
    <w:name w:val="Normal Indent"/>
    <w:basedOn w:val="Normal"/>
    <w:rsid w:val="00904260"/>
    <w:pPr>
      <w:ind w:left="720"/>
    </w:pPr>
  </w:style>
  <w:style w:type="paragraph" w:styleId="Indentcorptext2">
    <w:name w:val="Body Text Indent 2"/>
    <w:basedOn w:val="Normal"/>
    <w:rsid w:val="00904260"/>
    <w:pPr>
      <w:spacing w:after="120" w:line="480" w:lineRule="auto"/>
      <w:ind w:left="360"/>
    </w:pPr>
  </w:style>
  <w:style w:type="paragraph" w:customStyle="1" w:styleId="CharCharCharChar">
    <w:name w:val="Char Char Char Char"/>
    <w:basedOn w:val="Indentnormal"/>
    <w:rsid w:val="00904260"/>
    <w:pPr>
      <w:spacing w:before="120" w:after="240" w:line="240" w:lineRule="atLeast"/>
      <w:ind w:left="0"/>
    </w:pPr>
    <w:rPr>
      <w:rFonts w:ascii="Tahoma" w:hAnsi="Tahoma" w:cs="Arial"/>
      <w:sz w:val="20"/>
      <w:szCs w:val="20"/>
      <w:lang w:val="en-GB" w:eastAsia="en-US"/>
    </w:rPr>
  </w:style>
  <w:style w:type="character" w:styleId="Hyperlink">
    <w:name w:val="Hyperlink"/>
    <w:rsid w:val="00734408"/>
    <w:rPr>
      <w:b/>
      <w:bCs/>
      <w:color w:val="333399"/>
      <w:u w:val="single"/>
    </w:rPr>
  </w:style>
  <w:style w:type="character" w:customStyle="1" w:styleId="do1">
    <w:name w:val="do1"/>
    <w:rsid w:val="00734408"/>
    <w:rPr>
      <w:b/>
      <w:bCs/>
      <w:sz w:val="26"/>
      <w:szCs w:val="26"/>
    </w:rPr>
  </w:style>
  <w:style w:type="paragraph" w:customStyle="1" w:styleId="CharCharCharCharCharChar">
    <w:name w:val="Char Char Char Char Char Char"/>
    <w:basedOn w:val="Indentnormal"/>
    <w:rsid w:val="00F20B72"/>
    <w:pPr>
      <w:spacing w:before="120" w:after="240" w:line="240" w:lineRule="atLeast"/>
      <w:ind w:left="0"/>
    </w:pPr>
    <w:rPr>
      <w:rFonts w:ascii="Tahoma" w:hAnsi="Tahoma" w:cs="Arial"/>
      <w:sz w:val="20"/>
      <w:szCs w:val="20"/>
      <w:lang w:val="en-GB" w:eastAsia="en-US"/>
    </w:rPr>
  </w:style>
  <w:style w:type="character" w:customStyle="1" w:styleId="preambul1">
    <w:name w:val="preambul1"/>
    <w:rsid w:val="00A72E6E"/>
    <w:rPr>
      <w:i/>
      <w:iCs/>
      <w:color w:val="000000"/>
    </w:rPr>
  </w:style>
  <w:style w:type="character" w:customStyle="1" w:styleId="tal1">
    <w:name w:val="tal1"/>
    <w:basedOn w:val="Fontdeparagrafimplicit"/>
    <w:rsid w:val="00A72E6E"/>
  </w:style>
  <w:style w:type="paragraph" w:customStyle="1" w:styleId="CharChar1CharChar">
    <w:name w:val="Char Char1 Char Char"/>
    <w:basedOn w:val="Indentnormal"/>
    <w:rsid w:val="00A2515B"/>
    <w:pPr>
      <w:spacing w:before="120" w:after="240" w:line="240" w:lineRule="atLeast"/>
      <w:ind w:left="0"/>
    </w:pPr>
    <w:rPr>
      <w:rFonts w:ascii="Tahoma" w:hAnsi="Tahoma" w:cs="Arial"/>
      <w:sz w:val="20"/>
      <w:szCs w:val="20"/>
      <w:lang w:val="en-GB" w:eastAsia="en-US"/>
    </w:rPr>
  </w:style>
  <w:style w:type="paragraph" w:styleId="Corptext2">
    <w:name w:val="Body Text 2"/>
    <w:basedOn w:val="Normal"/>
    <w:rsid w:val="00A2515B"/>
    <w:pPr>
      <w:spacing w:after="120" w:line="480" w:lineRule="auto"/>
    </w:pPr>
  </w:style>
  <w:style w:type="paragraph" w:styleId="Indentcorptext3">
    <w:name w:val="Body Text Indent 3"/>
    <w:basedOn w:val="Normal"/>
    <w:rsid w:val="00A2515B"/>
    <w:pPr>
      <w:spacing w:after="120"/>
      <w:ind w:left="283"/>
    </w:pPr>
    <w:rPr>
      <w:sz w:val="16"/>
      <w:szCs w:val="16"/>
    </w:rPr>
  </w:style>
  <w:style w:type="paragraph" w:styleId="Antet">
    <w:name w:val="header"/>
    <w:basedOn w:val="Normal"/>
    <w:rsid w:val="001A1754"/>
    <w:pPr>
      <w:tabs>
        <w:tab w:val="center" w:pos="4320"/>
        <w:tab w:val="right" w:pos="8640"/>
      </w:tabs>
    </w:pPr>
  </w:style>
  <w:style w:type="character" w:styleId="Robust">
    <w:name w:val="Strong"/>
    <w:qFormat/>
    <w:rsid w:val="00092D3C"/>
    <w:rPr>
      <w:b/>
      <w:bCs/>
    </w:rPr>
  </w:style>
  <w:style w:type="paragraph" w:customStyle="1" w:styleId="CharCharCharChar0">
    <w:name w:val="Char Char Char Char"/>
    <w:basedOn w:val="Indentnormal"/>
    <w:rsid w:val="00092D3C"/>
    <w:pPr>
      <w:spacing w:before="120" w:after="240" w:line="240" w:lineRule="atLeast"/>
      <w:ind w:left="0"/>
    </w:pPr>
    <w:rPr>
      <w:rFonts w:ascii="Tahoma" w:hAnsi="Tahoma" w:cs="Arial"/>
      <w:sz w:val="20"/>
      <w:szCs w:val="20"/>
      <w:lang w:val="en-GB" w:eastAsia="en-US"/>
    </w:rPr>
  </w:style>
  <w:style w:type="paragraph" w:customStyle="1" w:styleId="CharChar1">
    <w:name w:val="Char Char1"/>
    <w:basedOn w:val="Indentnormal"/>
    <w:rsid w:val="00075561"/>
    <w:pPr>
      <w:spacing w:before="120" w:after="240" w:line="240" w:lineRule="atLeast"/>
      <w:ind w:left="0"/>
    </w:pPr>
    <w:rPr>
      <w:rFonts w:ascii="Tahoma" w:hAnsi="Tahoma" w:cs="Arial"/>
      <w:sz w:val="20"/>
      <w:szCs w:val="20"/>
      <w:lang w:val="en-GB" w:eastAsia="en-US"/>
    </w:rPr>
  </w:style>
  <w:style w:type="paragraph" w:customStyle="1" w:styleId="CharChar">
    <w:name w:val="Char Char"/>
    <w:basedOn w:val="Indentnormal"/>
    <w:rsid w:val="00C1004C"/>
    <w:pPr>
      <w:spacing w:before="120" w:after="240" w:line="240" w:lineRule="atLeast"/>
      <w:ind w:left="0"/>
    </w:pPr>
    <w:rPr>
      <w:rFonts w:ascii="Tahoma" w:hAnsi="Tahoma" w:cs="Arial"/>
      <w:sz w:val="20"/>
      <w:szCs w:val="20"/>
      <w:lang w:val="en-GB" w:eastAsia="en-US"/>
    </w:rPr>
  </w:style>
  <w:style w:type="paragraph" w:customStyle="1" w:styleId="CharCharCaracterCharCharCaracterCharCharCaracter">
    <w:name w:val="Char Char Caracter Char Char Caracter Char Char Caracter"/>
    <w:basedOn w:val="Indentnormal"/>
    <w:rsid w:val="00720060"/>
    <w:pPr>
      <w:spacing w:before="120" w:after="240" w:line="240" w:lineRule="atLeast"/>
      <w:ind w:left="0"/>
    </w:pPr>
    <w:rPr>
      <w:rFonts w:ascii="Tahoma" w:hAnsi="Tahoma" w:cs="Arial"/>
      <w:sz w:val="20"/>
      <w:szCs w:val="20"/>
      <w:lang w:val="en-GB" w:eastAsia="en-US"/>
    </w:rPr>
  </w:style>
  <w:style w:type="paragraph" w:customStyle="1" w:styleId="CharCharCaracterCharCharCaracterCharCharCaracter0">
    <w:name w:val="Char Char Caracter Char Char Caracter Char Char Caracter"/>
    <w:basedOn w:val="Indentnormal"/>
    <w:rsid w:val="00CC1F5E"/>
    <w:pPr>
      <w:spacing w:before="120" w:after="240" w:line="240" w:lineRule="atLeast"/>
      <w:ind w:left="0"/>
    </w:pPr>
    <w:rPr>
      <w:rFonts w:ascii="Tahoma" w:hAnsi="Tahoma" w:cs="Arial"/>
      <w:sz w:val="20"/>
      <w:szCs w:val="20"/>
      <w:lang w:val="en-GB" w:eastAsia="en-US"/>
    </w:rPr>
  </w:style>
  <w:style w:type="character" w:customStyle="1" w:styleId="Titlu4Caracter">
    <w:name w:val="Titlu 4 Caracter"/>
    <w:link w:val="Titlu4"/>
    <w:rsid w:val="003C72B8"/>
    <w:rPr>
      <w:rFonts w:eastAsia="Arial Unicode MS"/>
      <w:b/>
      <w:sz w:val="24"/>
      <w:lang w:val="ro-RO"/>
    </w:rPr>
  </w:style>
  <w:style w:type="paragraph" w:customStyle="1" w:styleId="CharCharCaracterCharCharCaracterCharCharCaracter1">
    <w:name w:val="Char Char Caracter Char Char Caracter Char Char Caracter"/>
    <w:basedOn w:val="Indentnormal"/>
    <w:rsid w:val="00AB09B0"/>
    <w:pPr>
      <w:spacing w:before="120" w:after="240" w:line="240" w:lineRule="atLeast"/>
      <w:ind w:left="0"/>
    </w:pPr>
    <w:rPr>
      <w:rFonts w:ascii="Tahoma" w:hAnsi="Tahoma" w:cs="Arial"/>
      <w:sz w:val="20"/>
      <w:szCs w:val="20"/>
      <w:lang w:val="en-GB" w:eastAsia="en-US"/>
    </w:rPr>
  </w:style>
  <w:style w:type="character" w:customStyle="1" w:styleId="Titlu5Caracter">
    <w:name w:val="Titlu 5 Caracter"/>
    <w:link w:val="Titlu5"/>
    <w:rsid w:val="00762032"/>
    <w:rPr>
      <w:b/>
      <w:sz w:val="24"/>
      <w:szCs w:val="24"/>
      <w:u w:val="single"/>
      <w:lang w:eastAsia="ro-RO"/>
    </w:rPr>
  </w:style>
  <w:style w:type="character" w:customStyle="1" w:styleId="SubsolCaracter">
    <w:name w:val="Subsol Caracter"/>
    <w:link w:val="Subsol"/>
    <w:uiPriority w:val="99"/>
    <w:rsid w:val="00762032"/>
    <w:rPr>
      <w:sz w:val="24"/>
      <w:szCs w:val="24"/>
    </w:rPr>
  </w:style>
  <w:style w:type="paragraph" w:styleId="Listparagraf">
    <w:name w:val="List Paragraph"/>
    <w:aliases w:val="body 2,List Paragraph11,Listă colorată - Accentuare 11,Bullet,Citation List,Forth level,List Paragraph1,Normal bullet 2,List_Paragraph,Multilevel para_II,7 List Paragraph,6 List Paragraph,List Paragraph (numbered (a)),Normal 2,Paragraph"/>
    <w:basedOn w:val="Normal"/>
    <w:link w:val="ListparagrafCaracter"/>
    <w:uiPriority w:val="34"/>
    <w:qFormat/>
    <w:rsid w:val="007D18DE"/>
    <w:pPr>
      <w:ind w:left="720"/>
      <w:contextualSpacing/>
    </w:pPr>
  </w:style>
  <w:style w:type="character" w:customStyle="1" w:styleId="tpt1">
    <w:name w:val="tpt1"/>
    <w:rsid w:val="00912664"/>
    <w:rPr>
      <w:rFonts w:cs="Times New Roman"/>
    </w:rPr>
  </w:style>
  <w:style w:type="paragraph" w:styleId="Textsimplu">
    <w:name w:val="Plain Text"/>
    <w:basedOn w:val="Normal"/>
    <w:link w:val="TextsimpluCaracter"/>
    <w:uiPriority w:val="99"/>
    <w:unhideWhenUsed/>
    <w:rsid w:val="00EB0376"/>
    <w:rPr>
      <w:rFonts w:ascii="Consolas" w:eastAsia="Calibri" w:hAnsi="Consolas"/>
      <w:sz w:val="21"/>
      <w:szCs w:val="21"/>
    </w:rPr>
  </w:style>
  <w:style w:type="character" w:customStyle="1" w:styleId="TextsimpluCaracter">
    <w:name w:val="Text simplu Caracter"/>
    <w:link w:val="Textsimplu"/>
    <w:uiPriority w:val="99"/>
    <w:rsid w:val="00EB0376"/>
    <w:rPr>
      <w:rFonts w:ascii="Consolas" w:eastAsia="Calibri" w:hAnsi="Consolas" w:cs="Times New Roman"/>
      <w:sz w:val="21"/>
      <w:szCs w:val="21"/>
    </w:rPr>
  </w:style>
  <w:style w:type="character" w:customStyle="1" w:styleId="apple-converted-space">
    <w:name w:val="apple-converted-space"/>
    <w:basedOn w:val="Fontdeparagrafimplicit"/>
    <w:rsid w:val="00CE32F3"/>
  </w:style>
  <w:style w:type="character" w:styleId="Referincomentariu">
    <w:name w:val="annotation reference"/>
    <w:rsid w:val="004270AA"/>
    <w:rPr>
      <w:sz w:val="16"/>
      <w:szCs w:val="16"/>
    </w:rPr>
  </w:style>
  <w:style w:type="paragraph" w:styleId="Textcomentariu">
    <w:name w:val="annotation text"/>
    <w:basedOn w:val="Normal"/>
    <w:link w:val="TextcomentariuCaracter"/>
    <w:rsid w:val="004270AA"/>
    <w:rPr>
      <w:sz w:val="20"/>
      <w:szCs w:val="20"/>
    </w:rPr>
  </w:style>
  <w:style w:type="character" w:customStyle="1" w:styleId="TextcomentariuCaracter">
    <w:name w:val="Text comentariu Caracter"/>
    <w:link w:val="Textcomentariu"/>
    <w:rsid w:val="004270AA"/>
    <w:rPr>
      <w:lang w:val="ro-RO" w:eastAsia="ro-RO"/>
    </w:rPr>
  </w:style>
  <w:style w:type="paragraph" w:styleId="SubiectComentariu">
    <w:name w:val="annotation subject"/>
    <w:basedOn w:val="Textcomentariu"/>
    <w:next w:val="Textcomentariu"/>
    <w:link w:val="SubiectComentariuCaracter"/>
    <w:rsid w:val="004270AA"/>
    <w:rPr>
      <w:b/>
      <w:bCs/>
    </w:rPr>
  </w:style>
  <w:style w:type="character" w:customStyle="1" w:styleId="SubiectComentariuCaracter">
    <w:name w:val="Subiect Comentariu Caracter"/>
    <w:link w:val="SubiectComentariu"/>
    <w:rsid w:val="004270AA"/>
    <w:rPr>
      <w:b/>
      <w:bCs/>
      <w:lang w:val="ro-RO" w:eastAsia="ro-RO"/>
    </w:rPr>
  </w:style>
  <w:style w:type="paragraph" w:styleId="TextnBalon">
    <w:name w:val="Balloon Text"/>
    <w:basedOn w:val="Normal"/>
    <w:link w:val="TextnBalonCaracter"/>
    <w:rsid w:val="004270AA"/>
    <w:rPr>
      <w:rFonts w:ascii="Tahoma" w:hAnsi="Tahoma"/>
      <w:sz w:val="16"/>
      <w:szCs w:val="16"/>
    </w:rPr>
  </w:style>
  <w:style w:type="character" w:customStyle="1" w:styleId="TextnBalonCaracter">
    <w:name w:val="Text în Balon Caracter"/>
    <w:link w:val="TextnBalon"/>
    <w:rsid w:val="004270AA"/>
    <w:rPr>
      <w:rFonts w:ascii="Tahoma" w:hAnsi="Tahoma" w:cs="Tahoma"/>
      <w:sz w:val="16"/>
      <w:szCs w:val="16"/>
      <w:lang w:val="ro-RO" w:eastAsia="ro-RO"/>
    </w:rPr>
  </w:style>
  <w:style w:type="paragraph" w:styleId="Indentcorptext">
    <w:name w:val="Body Text Indent"/>
    <w:basedOn w:val="Normal"/>
    <w:link w:val="IndentcorptextCaracter"/>
    <w:rsid w:val="00CF37A0"/>
    <w:pPr>
      <w:spacing w:after="120"/>
      <w:ind w:left="360"/>
    </w:pPr>
  </w:style>
  <w:style w:type="character" w:customStyle="1" w:styleId="IndentcorptextCaracter">
    <w:name w:val="Indent corp text Caracter"/>
    <w:basedOn w:val="Fontdeparagrafimplicit"/>
    <w:link w:val="Indentcorptext"/>
    <w:rsid w:val="00CF37A0"/>
    <w:rPr>
      <w:sz w:val="24"/>
      <w:szCs w:val="24"/>
      <w:lang w:val="ro-RO" w:eastAsia="ro-RO"/>
    </w:rPr>
  </w:style>
  <w:style w:type="paragraph" w:styleId="NormalWeb">
    <w:name w:val="Normal (Web)"/>
    <w:basedOn w:val="Normal"/>
    <w:rsid w:val="006636B2"/>
    <w:pPr>
      <w:spacing w:before="100" w:beforeAutospacing="1" w:after="100" w:afterAutospacing="1"/>
    </w:pPr>
    <w:rPr>
      <w:rFonts w:eastAsia="SimSun"/>
      <w:lang w:val="en-US" w:eastAsia="zh-CN"/>
    </w:rPr>
  </w:style>
  <w:style w:type="character" w:customStyle="1" w:styleId="Titlu1Caracter">
    <w:name w:val="Titlu 1 Caracter"/>
    <w:link w:val="Titlu1"/>
    <w:rsid w:val="00832915"/>
    <w:rPr>
      <w:b/>
      <w:bCs/>
      <w:szCs w:val="24"/>
      <w:lang w:val="ro-RO" w:eastAsia="ro-RO"/>
    </w:rPr>
  </w:style>
  <w:style w:type="paragraph" w:styleId="Frspaiere">
    <w:name w:val="No Spacing"/>
    <w:uiPriority w:val="1"/>
    <w:qFormat/>
    <w:rsid w:val="00437CB4"/>
    <w:pPr>
      <w:jc w:val="center"/>
    </w:pPr>
    <w:rPr>
      <w:rFonts w:asciiTheme="minorHAnsi" w:eastAsiaTheme="minorHAnsi" w:hAnsiTheme="minorHAnsi" w:cstheme="minorBidi"/>
      <w:sz w:val="22"/>
      <w:szCs w:val="22"/>
    </w:rPr>
  </w:style>
  <w:style w:type="character" w:customStyle="1" w:styleId="FontStyle16">
    <w:name w:val="Font Style16"/>
    <w:rsid w:val="005E56CC"/>
    <w:rPr>
      <w:rFonts w:ascii="Times New Roman" w:hAnsi="Times New Roman" w:cs="Times New Roman"/>
      <w:sz w:val="22"/>
      <w:szCs w:val="22"/>
    </w:rPr>
  </w:style>
  <w:style w:type="character" w:customStyle="1" w:styleId="ListparagrafCaracter">
    <w:name w:val="Listă paragraf Caracter"/>
    <w:aliases w:val="body 2 Caracter,List Paragraph11 Caracter,Listă colorată - Accentuare 11 Caracter,Bullet Caracter,Citation List Caracter,Forth level Caracter,List Paragraph1 Caracter,Normal bullet 2 Caracter,List_Paragraph Caracter"/>
    <w:link w:val="Listparagraf"/>
    <w:uiPriority w:val="34"/>
    <w:locked/>
    <w:rsid w:val="00D62434"/>
    <w:rPr>
      <w:sz w:val="24"/>
      <w:szCs w:val="24"/>
      <w:lang w:val="ro-RO" w:eastAsia="ro-RO"/>
    </w:rPr>
  </w:style>
  <w:style w:type="character" w:customStyle="1" w:styleId="ln2talineat">
    <w:name w:val="ln2talineat"/>
    <w:rsid w:val="003D1E37"/>
  </w:style>
  <w:style w:type="paragraph" w:styleId="Textnotdesubsol">
    <w:name w:val="footnote text"/>
    <w:basedOn w:val="Normal"/>
    <w:link w:val="TextnotdesubsolCaracter"/>
    <w:uiPriority w:val="99"/>
    <w:semiHidden/>
    <w:unhideWhenUsed/>
    <w:rsid w:val="00CD3B49"/>
    <w:rPr>
      <w:rFonts w:asciiTheme="minorHAnsi" w:eastAsiaTheme="minorEastAsia" w:hAnsiTheme="minorHAnsi" w:cstheme="minorBidi"/>
      <w:sz w:val="20"/>
      <w:szCs w:val="20"/>
      <w:lang w:val="en-US" w:eastAsia="ja-JP"/>
    </w:rPr>
  </w:style>
  <w:style w:type="character" w:customStyle="1" w:styleId="TextnotdesubsolCaracter">
    <w:name w:val="Text notă de subsol Caracter"/>
    <w:basedOn w:val="Fontdeparagrafimplicit"/>
    <w:link w:val="Textnotdesubsol"/>
    <w:uiPriority w:val="99"/>
    <w:semiHidden/>
    <w:rsid w:val="00CD3B49"/>
    <w:rPr>
      <w:rFonts w:asciiTheme="minorHAnsi" w:eastAsiaTheme="minorEastAsia" w:hAnsiTheme="minorHAnsi" w:cstheme="minorBidi"/>
      <w:lang w:eastAsia="ja-JP"/>
    </w:rPr>
  </w:style>
  <w:style w:type="character" w:styleId="Referinnotdesubsol">
    <w:name w:val="footnote reference"/>
    <w:basedOn w:val="Fontdeparagrafimplicit"/>
    <w:uiPriority w:val="99"/>
    <w:semiHidden/>
    <w:unhideWhenUsed/>
    <w:rsid w:val="00CD3B49"/>
    <w:rPr>
      <w:vertAlign w:val="superscript"/>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15" w:type="dxa"/>
        <w:right w:w="115" w:type="dxa"/>
      </w:tblCellMar>
    </w:tblPr>
  </w:style>
  <w:style w:type="table" w:customStyle="1" w:styleId="a4">
    <w:basedOn w:val="TabelNormal"/>
    <w:tblPr>
      <w:tblStyleRowBandSize w:val="1"/>
      <w:tblStyleColBandSize w:val="1"/>
      <w:tblCellMar>
        <w:left w:w="115" w:type="dxa"/>
        <w:right w:w="115" w:type="dxa"/>
      </w:tblCellMar>
    </w:tblPr>
  </w:style>
  <w:style w:type="table" w:customStyle="1" w:styleId="a5">
    <w:basedOn w:val="TabelNormal"/>
    <w:tblPr>
      <w:tblStyleRowBandSize w:val="1"/>
      <w:tblStyleColBandSize w:val="1"/>
      <w:tblCellMar>
        <w:left w:w="115" w:type="dxa"/>
        <w:right w:w="115" w:type="dxa"/>
      </w:tblCellMar>
    </w:tblPr>
  </w:style>
  <w:style w:type="table" w:customStyle="1" w:styleId="a6">
    <w:basedOn w:val="Tabel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meYMryjhN12AysX4Y6tL03lc1w==">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3034</Words>
  <Characters>17299</Characters>
  <Application>Microsoft Office Word</Application>
  <DocSecurity>0</DocSecurity>
  <Lines>144</Lines>
  <Paragraphs>40</Paragraphs>
  <ScaleCrop>false</ScaleCrop>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Roxana Tigau</cp:lastModifiedBy>
  <cp:revision>4</cp:revision>
  <dcterms:created xsi:type="dcterms:W3CDTF">2024-02-06T14:50:00Z</dcterms:created>
  <dcterms:modified xsi:type="dcterms:W3CDTF">2024-02-13T13:15:00Z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0x01010079131F514C677542810FA11807D13890</vt:lpwstr>
  </property>
</Properties>
</file>