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942"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71"/>
      </w:tblGrid>
      <w:tr w:rsidR="000B3219" w:rsidRPr="00F40C7B" w14:paraId="767CA12C" w14:textId="77777777" w:rsidTr="000B3219">
        <w:tc>
          <w:tcPr>
            <w:tcW w:w="5471" w:type="dxa"/>
          </w:tcPr>
          <w:p w14:paraId="101D63C4" w14:textId="77777777" w:rsidR="000B3219" w:rsidRPr="00F40C7B" w:rsidRDefault="000B3219" w:rsidP="00F40C7B">
            <w:pPr>
              <w:tabs>
                <w:tab w:val="center" w:pos="4680"/>
                <w:tab w:val="right" w:pos="9360"/>
              </w:tabs>
              <w:spacing w:after="0" w:line="240" w:lineRule="auto"/>
              <w:ind w:left="284"/>
              <w:rPr>
                <w:rFonts w:cs="Times New Roman"/>
                <w:b/>
                <w:bCs/>
                <w:lang w:val="ro-RO"/>
              </w:rPr>
            </w:pPr>
            <w:r w:rsidRPr="00F40C7B">
              <w:rPr>
                <w:rFonts w:cs="Times New Roman"/>
                <w:lang w:val="ro-RO"/>
              </w:rPr>
              <w:t xml:space="preserve">   </w:t>
            </w:r>
          </w:p>
          <w:p w14:paraId="528900FD" w14:textId="77777777" w:rsidR="000B3219" w:rsidRPr="00F40C7B" w:rsidRDefault="000B3219" w:rsidP="00F40C7B">
            <w:pPr>
              <w:tabs>
                <w:tab w:val="center" w:pos="4680"/>
                <w:tab w:val="right" w:pos="9360"/>
              </w:tabs>
              <w:spacing w:after="0" w:line="240" w:lineRule="auto"/>
              <w:ind w:left="284"/>
              <w:rPr>
                <w:rFonts w:cs="Times New Roman"/>
                <w:b/>
                <w:bCs/>
                <w:lang w:val="ro-RO"/>
              </w:rPr>
            </w:pPr>
          </w:p>
        </w:tc>
        <w:tc>
          <w:tcPr>
            <w:tcW w:w="5471" w:type="dxa"/>
          </w:tcPr>
          <w:p w14:paraId="6CF7B8E2" w14:textId="77777777" w:rsidR="000B3219" w:rsidRPr="00F40C7B" w:rsidRDefault="000B3219" w:rsidP="00F40C7B">
            <w:pPr>
              <w:tabs>
                <w:tab w:val="center" w:pos="4680"/>
                <w:tab w:val="right" w:pos="9360"/>
              </w:tabs>
              <w:spacing w:after="0" w:line="240" w:lineRule="auto"/>
              <w:ind w:left="284"/>
              <w:rPr>
                <w:rFonts w:cs="Times New Roman"/>
                <w:lang w:val="ro-RO"/>
              </w:rPr>
            </w:pPr>
          </w:p>
        </w:tc>
      </w:tr>
    </w:tbl>
    <w:p w14:paraId="7E1D52D6" w14:textId="77777777" w:rsidR="002356E9" w:rsidRDefault="002356E9" w:rsidP="002356E9">
      <w:pPr>
        <w:spacing w:line="214" w:lineRule="exact"/>
        <w:ind w:left="567"/>
        <w:jc w:val="center"/>
        <w:rPr>
          <w:b/>
          <w:color w:val="000000"/>
          <w:spacing w:val="-10"/>
          <w:lang w:val="ro-RO"/>
        </w:rPr>
      </w:pPr>
    </w:p>
    <w:p w14:paraId="16122C23" w14:textId="77777777" w:rsidR="002356E9" w:rsidRDefault="002356E9" w:rsidP="002356E9">
      <w:pPr>
        <w:spacing w:line="214" w:lineRule="exact"/>
        <w:ind w:left="567"/>
        <w:jc w:val="center"/>
        <w:rPr>
          <w:b/>
          <w:color w:val="000000"/>
          <w:spacing w:val="-10"/>
          <w:lang w:val="ro-RO"/>
        </w:rPr>
      </w:pPr>
    </w:p>
    <w:p w14:paraId="2D59BE92" w14:textId="77777777" w:rsidR="002356E9" w:rsidRDefault="002356E9" w:rsidP="002356E9">
      <w:pPr>
        <w:spacing w:line="214" w:lineRule="exact"/>
        <w:ind w:left="567"/>
        <w:jc w:val="center"/>
        <w:rPr>
          <w:b/>
          <w:color w:val="000000"/>
          <w:spacing w:val="-10"/>
          <w:lang w:val="ro-RO"/>
        </w:rPr>
      </w:pPr>
    </w:p>
    <w:p w14:paraId="5644B014" w14:textId="5233EEB7" w:rsidR="007D07FC" w:rsidRPr="008E072C" w:rsidRDefault="007D07FC" w:rsidP="002356E9">
      <w:pPr>
        <w:spacing w:line="214" w:lineRule="exact"/>
        <w:ind w:left="567"/>
        <w:jc w:val="center"/>
        <w:rPr>
          <w:b/>
          <w:color w:val="000000"/>
          <w:spacing w:val="-10"/>
          <w:lang w:val="ro-RO"/>
        </w:rPr>
      </w:pPr>
      <w:r w:rsidRPr="008E072C">
        <w:rPr>
          <w:b/>
          <w:color w:val="000000"/>
          <w:spacing w:val="-10"/>
          <w:lang w:val="ro-RO"/>
        </w:rPr>
        <w:t>SCHE</w:t>
      </w:r>
      <w:r>
        <w:rPr>
          <w:b/>
          <w:color w:val="000000"/>
          <w:spacing w:val="-10"/>
          <w:lang w:val="ro-RO"/>
        </w:rPr>
        <w:t>MĂ</w:t>
      </w:r>
    </w:p>
    <w:p w14:paraId="2423E26F" w14:textId="77777777" w:rsidR="007D07FC" w:rsidRPr="00FF4AD6" w:rsidRDefault="007D07FC" w:rsidP="002356E9">
      <w:pPr>
        <w:spacing w:line="221" w:lineRule="exact"/>
        <w:ind w:left="567"/>
        <w:rPr>
          <w:b/>
          <w:color w:val="000000"/>
          <w:spacing w:val="-25"/>
          <w:lang w:val="ro-RO"/>
        </w:rPr>
      </w:pPr>
    </w:p>
    <w:p w14:paraId="620CCCE2" w14:textId="33F9F8B4" w:rsidR="009B74F5" w:rsidRPr="00FF4AD6" w:rsidRDefault="007D07FC" w:rsidP="009B74F5">
      <w:pPr>
        <w:spacing w:line="214" w:lineRule="exact"/>
        <w:ind w:left="567"/>
        <w:jc w:val="center"/>
        <w:rPr>
          <w:b/>
          <w:color w:val="000000"/>
          <w:spacing w:val="-8"/>
          <w:lang w:val="ro-RO"/>
        </w:rPr>
      </w:pPr>
      <w:r w:rsidRPr="00FF4AD6">
        <w:rPr>
          <w:b/>
          <w:color w:val="000000"/>
          <w:spacing w:val="-8"/>
          <w:lang w:val="ro-RO"/>
        </w:rPr>
        <w:t>de ajutor de stat privind sprijinirea investițiilor</w:t>
      </w:r>
      <w:r w:rsidR="00861F19" w:rsidRPr="00861F19">
        <w:rPr>
          <w:b/>
          <w:color w:val="000000"/>
          <w:spacing w:val="-8"/>
          <w:lang w:val="ro-RO"/>
        </w:rPr>
        <w:t xml:space="preserve"> </w:t>
      </w:r>
      <w:bookmarkStart w:id="0" w:name="_Hlk183439654"/>
      <w:r w:rsidR="00861F19" w:rsidRPr="00861F19">
        <w:rPr>
          <w:b/>
          <w:color w:val="000000"/>
          <w:spacing w:val="-8"/>
          <w:lang w:val="ro-RO"/>
        </w:rPr>
        <w:t xml:space="preserve">destinate </w:t>
      </w:r>
      <w:r w:rsidR="009559E7">
        <w:rPr>
          <w:b/>
          <w:color w:val="000000"/>
          <w:spacing w:val="-8"/>
          <w:lang w:val="ro-RO"/>
        </w:rPr>
        <w:t xml:space="preserve">achiziției de vehicule </w:t>
      </w:r>
      <w:r w:rsidR="009559E7" w:rsidRPr="009559E7">
        <w:rPr>
          <w:b/>
          <w:color w:val="000000"/>
          <w:spacing w:val="-8"/>
          <w:lang w:val="ro-RO"/>
        </w:rPr>
        <w:t>cu emisii zero</w:t>
      </w:r>
      <w:r w:rsidR="009559E7">
        <w:rPr>
          <w:b/>
          <w:color w:val="000000"/>
          <w:spacing w:val="-8"/>
          <w:lang w:val="ro-RO"/>
        </w:rPr>
        <w:t xml:space="preserve"> pentru </w:t>
      </w:r>
      <w:r w:rsidR="009559E7" w:rsidRPr="00A44A1F">
        <w:rPr>
          <w:b/>
          <w:color w:val="000000"/>
          <w:spacing w:val="-8"/>
          <w:lang w:val="ro-RO"/>
        </w:rPr>
        <w:t>transportul rutier</w:t>
      </w:r>
      <w:r w:rsidR="009559E7">
        <w:rPr>
          <w:b/>
          <w:color w:val="000000"/>
          <w:spacing w:val="-8"/>
          <w:lang w:val="ro-RO"/>
        </w:rPr>
        <w:t xml:space="preserve"> și  </w:t>
      </w:r>
      <w:r w:rsidR="00861F19" w:rsidRPr="00861F19">
        <w:rPr>
          <w:b/>
          <w:color w:val="000000"/>
          <w:spacing w:val="-8"/>
          <w:lang w:val="ro-RO"/>
        </w:rPr>
        <w:t>modernizării vehiculelor</w:t>
      </w:r>
      <w:r w:rsidR="009559E7">
        <w:rPr>
          <w:b/>
          <w:color w:val="000000"/>
          <w:spacing w:val="-8"/>
          <w:lang w:val="ro-RO"/>
        </w:rPr>
        <w:t xml:space="preserve"> pentru transportul </w:t>
      </w:r>
      <w:r w:rsidR="009B74F5" w:rsidRPr="009B74F5">
        <w:rPr>
          <w:b/>
          <w:color w:val="000000"/>
          <w:spacing w:val="-8"/>
          <w:lang w:val="ro-RO"/>
        </w:rPr>
        <w:t>feroviar, maritim și pe căi navigabile interioare pentru a se califica drept vehicule nepo</w:t>
      </w:r>
      <w:r w:rsidR="009B74F5">
        <w:rPr>
          <w:b/>
          <w:color w:val="000000"/>
          <w:spacing w:val="-8"/>
          <w:lang w:val="ro-RO"/>
        </w:rPr>
        <w:t>l</w:t>
      </w:r>
      <w:r w:rsidR="009B74F5" w:rsidRPr="009B74F5">
        <w:rPr>
          <w:b/>
          <w:color w:val="000000"/>
          <w:spacing w:val="-8"/>
          <w:lang w:val="ro-RO"/>
        </w:rPr>
        <w:t>uante sau vehicule cu emisii zero</w:t>
      </w:r>
    </w:p>
    <w:p w14:paraId="600025A9" w14:textId="77777777" w:rsidR="007D07FC" w:rsidRDefault="007D07FC" w:rsidP="00294F0B">
      <w:pPr>
        <w:ind w:left="0"/>
        <w:rPr>
          <w:lang w:val="ro-RO"/>
        </w:rPr>
      </w:pPr>
    </w:p>
    <w:bookmarkEnd w:id="0"/>
    <w:p w14:paraId="00B1B577" w14:textId="606291A3" w:rsidR="007D07FC" w:rsidRPr="008E072C" w:rsidRDefault="00F43521" w:rsidP="002356E9">
      <w:pPr>
        <w:ind w:left="567"/>
        <w:rPr>
          <w:lang w:val="ro-RO"/>
        </w:rPr>
      </w:pPr>
      <w:r>
        <w:rPr>
          <w:lang w:val="ro-RO"/>
        </w:rPr>
        <w:t xml:space="preserve">Capitolul </w:t>
      </w:r>
      <w:r w:rsidR="007D07FC" w:rsidRPr="008E072C">
        <w:rPr>
          <w:lang w:val="ro-RO"/>
        </w:rPr>
        <w:t>I. Introducere</w:t>
      </w:r>
    </w:p>
    <w:p w14:paraId="3C8B4D61" w14:textId="77777777" w:rsidR="007D07FC" w:rsidRPr="008E072C" w:rsidRDefault="007D07FC" w:rsidP="002356E9">
      <w:pPr>
        <w:ind w:left="567"/>
        <w:rPr>
          <w:lang w:val="ro-RO"/>
        </w:rPr>
      </w:pPr>
      <w:r w:rsidRPr="008E072C">
        <w:rPr>
          <w:lang w:val="ro-RO"/>
        </w:rPr>
        <w:t>Art. 1</w:t>
      </w:r>
    </w:p>
    <w:p w14:paraId="47245017" w14:textId="37AE5F6A" w:rsidR="007D07FC" w:rsidRDefault="007D07FC" w:rsidP="002356E9">
      <w:pPr>
        <w:ind w:left="567"/>
        <w:rPr>
          <w:lang w:val="ro-RO"/>
        </w:rPr>
      </w:pPr>
      <w:r w:rsidRPr="008E072C">
        <w:rPr>
          <w:lang w:val="ro-RO"/>
        </w:rPr>
        <w:t>(1)</w:t>
      </w:r>
      <w:r w:rsidRPr="008E072C">
        <w:rPr>
          <w:lang w:val="ro-RO"/>
        </w:rPr>
        <w:tab/>
        <w:t>Prezenta schemă de ajutor de stat, bazată pe procedură de ofertare concurenția</w:t>
      </w:r>
      <w:r>
        <w:rPr>
          <w:lang w:val="ro-RO"/>
        </w:rPr>
        <w:t>l</w:t>
      </w:r>
      <w:r w:rsidRPr="008E072C">
        <w:rPr>
          <w:lang w:val="ro-RO"/>
        </w:rPr>
        <w:t xml:space="preserve">ă, vizează sprijinirea investițiilor </w:t>
      </w:r>
      <w:r w:rsidR="00861F19" w:rsidRPr="00861F19">
        <w:rPr>
          <w:lang w:val="ro-RO"/>
        </w:rPr>
        <w:t xml:space="preserve">destinate </w:t>
      </w:r>
      <w:r w:rsidR="009559E7" w:rsidRPr="009559E7">
        <w:rPr>
          <w:lang w:val="ro-RO"/>
        </w:rPr>
        <w:t>achiziției de vehicule cu emisii zero pentru transportul rutier și  modernizării vehiculelor pentru transportul feroviar, maritim și pe căi navigabile interioare pentru a se califica drept vehicule nepoluante sau vehicule cu emisii zero</w:t>
      </w:r>
      <w:r w:rsidR="00861F19">
        <w:rPr>
          <w:lang w:val="ro-RO"/>
        </w:rPr>
        <w:t xml:space="preserve">,  </w:t>
      </w:r>
      <w:r w:rsidR="00D45CFC">
        <w:rPr>
          <w:lang w:val="ro-RO"/>
        </w:rPr>
        <w:t xml:space="preserve">cu scopul </w:t>
      </w:r>
      <w:r w:rsidRPr="008E072C">
        <w:rPr>
          <w:lang w:val="ro-RO"/>
        </w:rPr>
        <w:t>reducer</w:t>
      </w:r>
      <w:r w:rsidR="00861F19">
        <w:rPr>
          <w:lang w:val="ro-RO"/>
        </w:rPr>
        <w:t>ii</w:t>
      </w:r>
      <w:r w:rsidRPr="008E072C">
        <w:rPr>
          <w:lang w:val="ro-RO"/>
        </w:rPr>
        <w:t xml:space="preserve"> emisiilor de gaze cu efect de seră</w:t>
      </w:r>
      <w:r w:rsidR="00D45CFC">
        <w:rPr>
          <w:lang w:val="ro-RO"/>
        </w:rPr>
        <w:t xml:space="preserve"> din transporturi.</w:t>
      </w:r>
      <w:r w:rsidR="00861F19">
        <w:rPr>
          <w:lang w:val="ro-RO"/>
        </w:rPr>
        <w:t xml:space="preserve"> </w:t>
      </w:r>
    </w:p>
    <w:p w14:paraId="57215D18" w14:textId="39323B52" w:rsidR="007D07FC" w:rsidRDefault="007D07FC" w:rsidP="002356E9">
      <w:pPr>
        <w:ind w:left="567"/>
        <w:rPr>
          <w:lang w:val="ro-RO"/>
        </w:rPr>
      </w:pPr>
      <w:r w:rsidRPr="00E40FA5">
        <w:rPr>
          <w:lang w:val="ro-RO"/>
        </w:rPr>
        <w:t>(2)</w:t>
      </w:r>
      <w:r w:rsidRPr="00E40FA5">
        <w:rPr>
          <w:lang w:val="ro-RO"/>
        </w:rPr>
        <w:tab/>
        <w:t xml:space="preserve">Prezenta schemă de ajutor de stat se adoptă în temeiul articolului </w:t>
      </w:r>
      <w:r w:rsidR="007C126A">
        <w:rPr>
          <w:lang w:val="ro-RO"/>
        </w:rPr>
        <w:t>36 b</w:t>
      </w:r>
      <w:r w:rsidRPr="00E40FA5">
        <w:rPr>
          <w:lang w:val="ro-RO"/>
        </w:rPr>
        <w:t xml:space="preserve"> din Regulamentul (UE) nr. 651/2014 al Comisiei Europene din 17 iunie 2014 de declarare a anumitor categorii de ajutoare compatibile cu piața internă în aplicarea articolelor 107 și 108 din tratat, cu completările și modificările ulterioare</w:t>
      </w:r>
      <w:r>
        <w:rPr>
          <w:rStyle w:val="FootnoteReference"/>
          <w:lang w:val="ro-RO"/>
        </w:rPr>
        <w:footnoteReference w:id="1"/>
      </w:r>
      <w:r w:rsidR="00D74879">
        <w:rPr>
          <w:lang w:val="ro-RO"/>
        </w:rPr>
        <w:t>,</w:t>
      </w:r>
      <w:r w:rsidRPr="00E40FA5">
        <w:rPr>
          <w:lang w:val="ro-RO"/>
        </w:rPr>
        <w:t xml:space="preserve"> denumit în continuare Regulament.</w:t>
      </w:r>
    </w:p>
    <w:p w14:paraId="35FD3A49" w14:textId="77777777" w:rsidR="007D07FC" w:rsidRDefault="007D07FC" w:rsidP="002356E9">
      <w:pPr>
        <w:ind w:left="567"/>
        <w:rPr>
          <w:lang w:val="ro-RO"/>
        </w:rPr>
      </w:pPr>
      <w:r w:rsidRPr="00AB4BEE">
        <w:rPr>
          <w:lang w:val="ro-RO"/>
        </w:rPr>
        <w:t>(3)</w:t>
      </w:r>
      <w:r w:rsidRPr="00AB4BEE">
        <w:rPr>
          <w:lang w:val="ro-RO"/>
        </w:rPr>
        <w:tab/>
        <w:t>Sprijinul acordat în cadrul acestei scheme se încadrează în sprijinul prevăzut de articolul 10d din Directiva 2003/87/CE a Parlamentului European și a Consiliului din 13 octombrie 2003 de stabilire a unui sistem de comercializare a cotelor de emisie de gaze cu efect de seră în cadrul Uniunii și de modificare a Directivei 96/61 /CE a Consiliului, a</w:t>
      </w:r>
      <w:r>
        <w:rPr>
          <w:lang w:val="ro-RO"/>
        </w:rPr>
        <w:t>l</w:t>
      </w:r>
      <w:r w:rsidRPr="00AB4BEE">
        <w:rPr>
          <w:lang w:val="ro-RO"/>
        </w:rPr>
        <w:t>e cărei norme sunt stabilite de Comisia Europeană prin Regulamentul de punere în aplicare (UE) 2020/1001 din 9 iulie 2020 de stabilire a unor norme detaliate de aplicare a Directivei 2003/87/CE a Parlamentului European și a Consi</w:t>
      </w:r>
      <w:r>
        <w:rPr>
          <w:lang w:val="ro-RO"/>
        </w:rPr>
        <w:t xml:space="preserve">liului în </w:t>
      </w:r>
      <w:r w:rsidRPr="00AB4BEE">
        <w:rPr>
          <w:lang w:val="ro-RO"/>
        </w:rPr>
        <w:t>ceea ce privește funcționarea Fondului pentru modernizare care sprijină investițiile în vederea modernizării sistemelor energetice și a îmbunătățirii eficienței energetice a anumitor state membre</w:t>
      </w:r>
      <w:r>
        <w:rPr>
          <w:lang w:val="ro-RO"/>
        </w:rPr>
        <w:t>, cu modificările și completările ulterioare</w:t>
      </w:r>
      <w:r>
        <w:rPr>
          <w:rStyle w:val="FootnoteReference"/>
          <w:lang w:val="ro-RO"/>
        </w:rPr>
        <w:footnoteReference w:id="2"/>
      </w:r>
      <w:r>
        <w:rPr>
          <w:lang w:val="ro-RO"/>
        </w:rPr>
        <w:t>.</w:t>
      </w:r>
    </w:p>
    <w:p w14:paraId="4EB1D0D2" w14:textId="77777777" w:rsidR="007D07FC" w:rsidRDefault="007D07FC" w:rsidP="002356E9">
      <w:pPr>
        <w:ind w:left="567"/>
        <w:rPr>
          <w:lang w:val="ro-RO"/>
        </w:rPr>
      </w:pPr>
      <w:r>
        <w:rPr>
          <w:lang w:val="ro-RO"/>
        </w:rPr>
        <w:t>(4</w:t>
      </w:r>
      <w:r w:rsidRPr="00496EBB">
        <w:rPr>
          <w:lang w:val="ro-RO"/>
        </w:rPr>
        <w:t>)</w:t>
      </w:r>
      <w:r w:rsidRPr="00496EBB">
        <w:rPr>
          <w:lang w:val="ro-RO"/>
        </w:rPr>
        <w:tab/>
      </w:r>
      <w:r>
        <w:rPr>
          <w:lang w:val="ro-RO"/>
        </w:rPr>
        <w:t xml:space="preserve">Schema de ajutor va contribui la </w:t>
      </w:r>
      <w:r w:rsidRPr="00496EBB">
        <w:rPr>
          <w:lang w:val="ro-RO"/>
        </w:rPr>
        <w:t xml:space="preserve">atingerea obiectivului privind neutralitatea climatică, prevăzut în Regulamentul (UE) 2021/1119 al Parlamentului European și al Consiliului din 30 iunie 2021 de stabilire a cadrului pentru atingerea neutralității climatice </w:t>
      </w:r>
      <w:r w:rsidRPr="00496EBB">
        <w:rPr>
          <w:lang w:val="ro-RO"/>
        </w:rPr>
        <w:lastRenderedPageBreak/>
        <w:t>și de modificare a Regulamentelor (CE) nr. 401/2009 și (UE) 2018/1999 ("Legea europeană a climei"), referitor la asigurarea, până cel târziu în 2050, a unui echilibru la nivelul Uniunii între emisiile și absorbțiile de gaze cu efect de seră care sunt reglementate în dreptul  Uniunii, astfel încât să se ajungă la zero emisii nete până la acea dată</w:t>
      </w:r>
      <w:r>
        <w:rPr>
          <w:lang w:val="ro-RO"/>
        </w:rPr>
        <w:t>.</w:t>
      </w:r>
    </w:p>
    <w:p w14:paraId="16A4DB03" w14:textId="77777777" w:rsidR="007D07FC" w:rsidRDefault="007D07FC" w:rsidP="002356E9">
      <w:pPr>
        <w:ind w:left="567"/>
        <w:rPr>
          <w:lang w:val="ro-RO"/>
        </w:rPr>
      </w:pPr>
      <w:r>
        <w:rPr>
          <w:lang w:val="ro-RO"/>
        </w:rPr>
        <w:t>(5)</w:t>
      </w:r>
      <w:r>
        <w:rPr>
          <w:lang w:val="ro-RO"/>
        </w:rPr>
        <w:tab/>
        <w:t xml:space="preserve">Schema de ajutor aduce o contribuție la atingerea obiectivelor de reducere a emisiilor de gaze cu efect de seră, așa cum este prevăzut în </w:t>
      </w:r>
      <w:r w:rsidRPr="00242920">
        <w:rPr>
          <w:lang w:val="ro-RO"/>
        </w:rPr>
        <w:t xml:space="preserve">Regulamentului (UE) 2023/857 al Parlamentului European și al Consiliului din 19 aprilie 2023 de modificare a Regulamentului (UE) 2018/842 privind reducerea anuală obligatorie a emisiilor de gaze cu efect de seră de către statele membre în perioada 2021-2030 în vederea unei contribuții la acțiunile climatice de respectare a angajamentelor asumate în temeiul Acordului de la Paris și a Regulamentului (UE) 2018/1.999, </w:t>
      </w:r>
      <w:r>
        <w:rPr>
          <w:lang w:val="ro-RO"/>
        </w:rPr>
        <w:t xml:space="preserve">prin care </w:t>
      </w:r>
      <w:r w:rsidRPr="00242920">
        <w:rPr>
          <w:lang w:val="ro-RO"/>
        </w:rPr>
        <w:t>au fost stabilite noi obiective de reducere a emisiilor pentru 2030</w:t>
      </w:r>
      <w:r>
        <w:rPr>
          <w:lang w:val="ro-RO"/>
        </w:rPr>
        <w:t>.</w:t>
      </w:r>
    </w:p>
    <w:p w14:paraId="186F9C16" w14:textId="4DCF5D1F" w:rsidR="00E76242" w:rsidRPr="00E76242" w:rsidRDefault="00E76242" w:rsidP="00E76242">
      <w:pPr>
        <w:ind w:left="567"/>
        <w:rPr>
          <w:lang w:val="ro-RO"/>
        </w:rPr>
      </w:pPr>
      <w:r>
        <w:rPr>
          <w:lang w:val="ro-RO"/>
        </w:rPr>
        <w:t xml:space="preserve">(6) </w:t>
      </w:r>
      <w:r>
        <w:rPr>
          <w:lang w:val="ro-RO"/>
        </w:rPr>
        <w:tab/>
        <w:t>Suplimentar, schema de ajutor de stat contribuie la obiectivele stabilite prin Comunicarea Comisiei ”</w:t>
      </w:r>
      <w:r w:rsidRPr="00E76242">
        <w:rPr>
          <w:lang w:val="ro-RO"/>
        </w:rPr>
        <w:t>Strategia pentru o mobilitate sustenabilă și inteligentă – înscrierea transporturilor europene pe calea viitorului</w:t>
      </w:r>
      <w:r>
        <w:rPr>
          <w:lang w:val="ro-RO"/>
        </w:rPr>
        <w:t xml:space="preserve">” care prevede </w:t>
      </w:r>
      <w:r w:rsidRPr="00E76242">
        <w:rPr>
          <w:lang w:val="ro-RO"/>
        </w:rPr>
        <w:t xml:space="preserve">că transportul pe căile navigabile interioare și transportul maritim pe distanțe scurte ar trebui să crească cu 25% până în 2030 și cu 50% până în 2050. </w:t>
      </w:r>
    </w:p>
    <w:p w14:paraId="4D72C9F2" w14:textId="1E87BF0C" w:rsidR="007D07FC" w:rsidRPr="00A63799" w:rsidRDefault="007D07FC" w:rsidP="002356E9">
      <w:pPr>
        <w:ind w:left="567"/>
        <w:rPr>
          <w:lang w:val="ro-RO"/>
        </w:rPr>
      </w:pPr>
      <w:r>
        <w:rPr>
          <w:lang w:val="ro-RO"/>
        </w:rPr>
        <w:t>(</w:t>
      </w:r>
      <w:r w:rsidR="00E76242">
        <w:rPr>
          <w:lang w:val="ro-RO"/>
        </w:rPr>
        <w:t>7</w:t>
      </w:r>
      <w:r>
        <w:rPr>
          <w:lang w:val="ro-RO"/>
        </w:rPr>
        <w:t>)</w:t>
      </w:r>
      <w:r>
        <w:rPr>
          <w:lang w:val="ro-RO"/>
        </w:rPr>
        <w:tab/>
        <w:t xml:space="preserve">Pentru a atinge obiectivele stabilite în </w:t>
      </w:r>
      <w:r w:rsidRPr="00496EBB">
        <w:rPr>
          <w:lang w:val="ro-RO"/>
        </w:rPr>
        <w:t>Planul Național Integrat în domeniul Energiei și Schimbărilor Climatice 2021-2030, aprobat prin H.G. nr. 1.076/2021</w:t>
      </w:r>
      <w:r>
        <w:rPr>
          <w:lang w:val="ro-RO"/>
        </w:rPr>
        <w:t xml:space="preserve">,și implicit ale Pactului Verde European de a atinge neutralitatea climatică până în 2050 este necesar un efort colectiv al tuturor sectoarelor economiei naționale, inclusiv al </w:t>
      </w:r>
      <w:r w:rsidR="00E76242">
        <w:rPr>
          <w:lang w:val="ro-RO"/>
        </w:rPr>
        <w:t>sectorului transporturilor</w:t>
      </w:r>
      <w:r>
        <w:rPr>
          <w:lang w:val="ro-RO"/>
        </w:rPr>
        <w:t xml:space="preserve">. </w:t>
      </w:r>
    </w:p>
    <w:p w14:paraId="16F2CF8F" w14:textId="6CEF4425" w:rsidR="007E0A86" w:rsidRDefault="007D07FC" w:rsidP="007E0A86">
      <w:pPr>
        <w:ind w:left="567"/>
        <w:rPr>
          <w:lang w:val="ro-RO"/>
        </w:rPr>
      </w:pPr>
      <w:r>
        <w:rPr>
          <w:lang w:val="ro-RO"/>
        </w:rPr>
        <w:t>(</w:t>
      </w:r>
      <w:r w:rsidR="00E76242">
        <w:rPr>
          <w:lang w:val="ro-RO"/>
        </w:rPr>
        <w:t>8</w:t>
      </w:r>
      <w:r>
        <w:rPr>
          <w:lang w:val="ro-RO"/>
        </w:rPr>
        <w:t xml:space="preserve">) </w:t>
      </w:r>
      <w:r>
        <w:rPr>
          <w:lang w:val="ro-RO"/>
        </w:rPr>
        <w:tab/>
        <w:t>D</w:t>
      </w:r>
      <w:r w:rsidRPr="00A63799">
        <w:rPr>
          <w:lang w:val="ro-RO"/>
        </w:rPr>
        <w:t>ezvoltarea proiect</w:t>
      </w:r>
      <w:r>
        <w:rPr>
          <w:lang w:val="ro-RO"/>
        </w:rPr>
        <w:t>elor</w:t>
      </w:r>
      <w:r w:rsidRPr="00A63799">
        <w:rPr>
          <w:lang w:val="ro-RO"/>
        </w:rPr>
        <w:t xml:space="preserve"> </w:t>
      </w:r>
      <w:r w:rsidR="00E76242">
        <w:rPr>
          <w:lang w:val="ro-RO"/>
        </w:rPr>
        <w:t xml:space="preserve">de modernizare a flotei reprezintă o prioritate a Comisiei exprimată prin </w:t>
      </w:r>
      <w:r w:rsidR="00E76242" w:rsidRPr="00E76242">
        <w:rPr>
          <w:lang w:val="ro-RO"/>
        </w:rPr>
        <w:t>articolul 8 din Regulamentul (U</w:t>
      </w:r>
      <w:r w:rsidR="00E76242">
        <w:rPr>
          <w:lang w:val="ro-RO"/>
        </w:rPr>
        <w:t>E</w:t>
      </w:r>
      <w:r w:rsidR="00E76242" w:rsidRPr="00E76242">
        <w:rPr>
          <w:lang w:val="ro-RO"/>
        </w:rPr>
        <w:t xml:space="preserve">) Nr. 546/2014 </w:t>
      </w:r>
      <w:r w:rsidR="00E76242">
        <w:rPr>
          <w:lang w:val="ro-RO"/>
        </w:rPr>
        <w:t>a</w:t>
      </w:r>
      <w:r w:rsidR="00E76242" w:rsidRPr="00E76242">
        <w:rPr>
          <w:lang w:val="ro-RO"/>
        </w:rPr>
        <w:t xml:space="preserve">l Parlamentului European </w:t>
      </w:r>
      <w:r w:rsidR="00E76242">
        <w:rPr>
          <w:lang w:val="ro-RO"/>
        </w:rPr>
        <w:t>ș</w:t>
      </w:r>
      <w:r w:rsidR="00E76242" w:rsidRPr="00E76242">
        <w:rPr>
          <w:lang w:val="ro-RO"/>
        </w:rPr>
        <w:t xml:space="preserve">i </w:t>
      </w:r>
      <w:r w:rsidR="00E76242">
        <w:rPr>
          <w:lang w:val="ro-RO"/>
        </w:rPr>
        <w:t>a</w:t>
      </w:r>
      <w:r w:rsidR="00E76242" w:rsidRPr="00E76242">
        <w:rPr>
          <w:lang w:val="ro-RO"/>
        </w:rPr>
        <w:t xml:space="preserve">l Consiliului din 15 mai 2014 de modificare a Regulamentului (CE) nr. 718/1999 al Consiliului privind politica capacității flotei Comunității cu scopul de a promova transportul pe căile navigabile interioare, </w:t>
      </w:r>
      <w:r w:rsidR="00E76242">
        <w:rPr>
          <w:lang w:val="ro-RO"/>
        </w:rPr>
        <w:t xml:space="preserve">care </w:t>
      </w:r>
      <w:r w:rsidR="00E76242" w:rsidRPr="00E76242">
        <w:rPr>
          <w:lang w:val="ro-RO"/>
        </w:rPr>
        <w:t>îndeamnă statele membre să ia măsuri în special pentru a încuraja adaptarea navelor la progresul tehnic în vederea îmbunătățirii condițiilor de muncă și a promovării cerințelor de siguranță</w:t>
      </w:r>
      <w:r w:rsidR="007E0A86">
        <w:rPr>
          <w:lang w:val="ro-RO"/>
        </w:rPr>
        <w:t xml:space="preserve">. </w:t>
      </w:r>
    </w:p>
    <w:p w14:paraId="4BF0AAFB" w14:textId="110DE2FE" w:rsidR="007D07FC" w:rsidRDefault="007D07FC" w:rsidP="002356E9">
      <w:pPr>
        <w:ind w:left="567"/>
        <w:rPr>
          <w:lang w:val="ro-RO"/>
        </w:rPr>
      </w:pPr>
      <w:r>
        <w:rPr>
          <w:lang w:val="ro-RO"/>
        </w:rPr>
        <w:t>(</w:t>
      </w:r>
      <w:r w:rsidR="00E76242">
        <w:rPr>
          <w:lang w:val="ro-RO"/>
        </w:rPr>
        <w:t>9</w:t>
      </w:r>
      <w:r>
        <w:rPr>
          <w:lang w:val="ro-RO"/>
        </w:rPr>
        <w:t>)</w:t>
      </w:r>
      <w:r>
        <w:rPr>
          <w:lang w:val="ro-RO"/>
        </w:rPr>
        <w:tab/>
        <w:t xml:space="preserve">Totodată, </w:t>
      </w:r>
      <w:r w:rsidR="00596198">
        <w:rPr>
          <w:lang w:val="ro-RO"/>
        </w:rPr>
        <w:t>î</w:t>
      </w:r>
      <w:r w:rsidR="00596198" w:rsidRPr="00596198">
        <w:rPr>
          <w:lang w:val="ro-RO"/>
        </w:rPr>
        <w:t xml:space="preserve">n ceea ce privește transportul pe apă, </w:t>
      </w:r>
      <w:r w:rsidR="00596198">
        <w:rPr>
          <w:lang w:val="ro-RO"/>
        </w:rPr>
        <w:t>”</w:t>
      </w:r>
      <w:r w:rsidR="00596198" w:rsidRPr="00E76242">
        <w:rPr>
          <w:lang w:val="ro-RO"/>
        </w:rPr>
        <w:t>Strategia pentru o mobilitate sustenabilă și inteligentă</w:t>
      </w:r>
      <w:r w:rsidR="00596198">
        <w:rPr>
          <w:lang w:val="ro-RO"/>
        </w:rPr>
        <w:t xml:space="preserve">” </w:t>
      </w:r>
      <w:r w:rsidR="00596198" w:rsidRPr="00596198">
        <w:rPr>
          <w:lang w:val="ro-RO"/>
        </w:rPr>
        <w:t>afirmă că standardele privind emisiile de CO2 și de poluanți atmosferici, precum și normele privind achizițiile publice, precum cele din Directiva privind vehiculele ecologice, vor continua să fie principalele motoare politice ale tranziției europene către o mobilitate cu emisii zero, iar prin creșterea ofertei de nave cu emisii reduse, mobilitatea durabilă va deveni mai accesibilă pentru toți</w:t>
      </w:r>
      <w:r w:rsidR="00596198">
        <w:rPr>
          <w:lang w:val="ro-RO"/>
        </w:rPr>
        <w:t>.</w:t>
      </w:r>
    </w:p>
    <w:p w14:paraId="1A60B105" w14:textId="63A087C1" w:rsidR="007E0A86" w:rsidRDefault="007E0A86" w:rsidP="007E0A86">
      <w:pPr>
        <w:ind w:left="567"/>
        <w:rPr>
          <w:lang w:val="ro-RO"/>
        </w:rPr>
      </w:pPr>
      <w:r>
        <w:rPr>
          <w:lang w:val="ro-RO"/>
        </w:rPr>
        <w:t>(10)</w:t>
      </w:r>
      <w:r>
        <w:rPr>
          <w:lang w:val="ro-RO"/>
        </w:rPr>
        <w:tab/>
        <w:t>T</w:t>
      </w:r>
      <w:r w:rsidRPr="007E0A86">
        <w:rPr>
          <w:lang w:val="ro-RO"/>
        </w:rPr>
        <w:t>ransportul este responsabil pentru un sfert din totalul emisiilor de gaze cu efect de seră, camioanele și alte vehicule grele reprezentând 26%</w:t>
      </w:r>
      <w:r>
        <w:rPr>
          <w:lang w:val="ro-RO"/>
        </w:rPr>
        <w:t xml:space="preserve">, astfel </w:t>
      </w:r>
      <w:r w:rsidRPr="007E0A86">
        <w:rPr>
          <w:lang w:val="ro-RO"/>
        </w:rPr>
        <w:t>este necesară o transformare semnificativă a sectorului transporturilor rutiere către vehicule cu emisii zero</w:t>
      </w:r>
      <w:r>
        <w:rPr>
          <w:lang w:val="ro-RO"/>
        </w:rPr>
        <w:t xml:space="preserve">, în vederea atingerii țintelor stabilite la nivelul Uniunii Europene de </w:t>
      </w:r>
      <w:r w:rsidRPr="007E0A86">
        <w:rPr>
          <w:lang w:val="ro-RO"/>
        </w:rPr>
        <w:t>cel puțin 80.000 de camioane cu emisii zero până în 2030 și o majoritate de camioane cu zero emisii până în 2050</w:t>
      </w:r>
      <w:r>
        <w:rPr>
          <w:lang w:val="ro-RO"/>
        </w:rPr>
        <w:t xml:space="preserve">.  </w:t>
      </w:r>
    </w:p>
    <w:p w14:paraId="4FC4167F" w14:textId="780A3CA4" w:rsidR="00126391" w:rsidRDefault="00126391" w:rsidP="007E0A86">
      <w:pPr>
        <w:ind w:left="567"/>
        <w:rPr>
          <w:lang w:val="ro-RO"/>
        </w:rPr>
      </w:pPr>
      <w:r>
        <w:rPr>
          <w:lang w:val="ro-RO"/>
        </w:rPr>
        <w:t xml:space="preserve">(11) </w:t>
      </w:r>
      <w:r>
        <w:rPr>
          <w:lang w:val="ro-RO"/>
        </w:rPr>
        <w:tab/>
      </w:r>
      <w:r w:rsidRPr="00126391">
        <w:rPr>
          <w:lang w:val="ro-RO"/>
        </w:rPr>
        <w:t>Conform raportului CE „Electrificarea sistemului de transport”, căile ferate europene s-au angajat să reducă emisiile totale de CO2 cu 30% până în 2030 față de 1990, în ciuda transferului modal preconizat în conformitate cu obiectivele Cartei albe.</w:t>
      </w:r>
      <w:r>
        <w:rPr>
          <w:lang w:val="ro-RO"/>
        </w:rPr>
        <w:t xml:space="preserve"> Astfel, pentru atingerea acestei ținte este imperios necesară înlocuirea motoarelor diesel ale locomotivelor cu alternative eficiente, cu zero emisii. </w:t>
      </w:r>
    </w:p>
    <w:p w14:paraId="6ADC4695" w14:textId="1AD3719E" w:rsidR="007D07FC" w:rsidRDefault="007D07FC" w:rsidP="002356E9">
      <w:pPr>
        <w:ind w:left="567"/>
        <w:rPr>
          <w:lang w:val="ro-RO"/>
        </w:rPr>
      </w:pPr>
      <w:r>
        <w:rPr>
          <w:lang w:val="ro-RO"/>
        </w:rPr>
        <w:lastRenderedPageBreak/>
        <w:t>(</w:t>
      </w:r>
      <w:r w:rsidR="00596198">
        <w:rPr>
          <w:lang w:val="ro-RO"/>
        </w:rPr>
        <w:t>1</w:t>
      </w:r>
      <w:r w:rsidR="00126391">
        <w:rPr>
          <w:lang w:val="ro-RO"/>
        </w:rPr>
        <w:t>2</w:t>
      </w:r>
      <w:r>
        <w:rPr>
          <w:lang w:val="ro-RO"/>
        </w:rPr>
        <w:t>)</w:t>
      </w:r>
      <w:r>
        <w:rPr>
          <w:lang w:val="ro-RO"/>
        </w:rPr>
        <w:tab/>
      </w:r>
      <w:r w:rsidRPr="00007A7C">
        <w:rPr>
          <w:lang w:val="ro-RO"/>
        </w:rPr>
        <w:t>Actualizarea Directivei privind energia din surse regenerabile (RED III) a ridicat obiectivul privind energia din surse regenerabile pentru 2030 la 42,5 %.  Obiectivele genera</w:t>
      </w:r>
      <w:r>
        <w:rPr>
          <w:lang w:val="ro-RO"/>
        </w:rPr>
        <w:t>l</w:t>
      </w:r>
      <w:r w:rsidRPr="00007A7C">
        <w:rPr>
          <w:lang w:val="ro-RO"/>
        </w:rPr>
        <w:t>e ale revizuirii Directivei sunt de a promova o mai bună integrare a sistemului energetic și de a contribui la obiectivele climatice și de mediu, inclusiv protecția biodiversității, abordând astfel preocupările inter generaționale asociate încălzirii globale.</w:t>
      </w:r>
      <w:r>
        <w:rPr>
          <w:lang w:val="ro-RO"/>
        </w:rPr>
        <w:t xml:space="preserve"> </w:t>
      </w:r>
      <w:r w:rsidRPr="00007A7C">
        <w:rPr>
          <w:lang w:val="ro-RO"/>
        </w:rPr>
        <w:t>În sectorul transporturilor, se stabilește</w:t>
      </w:r>
      <w:r>
        <w:rPr>
          <w:lang w:val="ro-RO"/>
        </w:rPr>
        <w:t xml:space="preserve"> </w:t>
      </w:r>
      <w:r w:rsidRPr="00007A7C">
        <w:rPr>
          <w:lang w:val="ro-RO"/>
        </w:rPr>
        <w:t>un obiectiv de 29% pentru ponderea energiei regenerabile până în 2030 sau o reducere de 14,5% a emisiilor de gaze cu efect de seră prin creșterea consumului de biocombustibili avansați și de combustibili regenerabili non-biologici, cum ar fi hidrogenul.</w:t>
      </w:r>
    </w:p>
    <w:p w14:paraId="1F8CB572" w14:textId="71F4014F" w:rsidR="007D07FC" w:rsidRDefault="007D07FC" w:rsidP="002356E9">
      <w:pPr>
        <w:ind w:left="567"/>
        <w:rPr>
          <w:lang w:val="ro-RO"/>
        </w:rPr>
      </w:pPr>
      <w:r w:rsidRPr="00007A7C">
        <w:rPr>
          <w:lang w:val="ro-RO"/>
        </w:rPr>
        <w:t>(</w:t>
      </w:r>
      <w:r w:rsidR="00596198">
        <w:rPr>
          <w:lang w:val="ro-RO"/>
        </w:rPr>
        <w:t>1</w:t>
      </w:r>
      <w:r w:rsidR="00126391">
        <w:rPr>
          <w:lang w:val="ro-RO"/>
        </w:rPr>
        <w:t>3</w:t>
      </w:r>
      <w:r w:rsidRPr="00007A7C">
        <w:rPr>
          <w:lang w:val="ro-RO"/>
        </w:rPr>
        <w:t>)</w:t>
      </w:r>
      <w:r w:rsidRPr="00007A7C">
        <w:rPr>
          <w:lang w:val="ro-RO"/>
        </w:rPr>
        <w:tab/>
      </w:r>
      <w:r>
        <w:rPr>
          <w:lang w:val="ro-RO"/>
        </w:rPr>
        <w:t>Astfel</w:t>
      </w:r>
      <w:r w:rsidRPr="00007A7C">
        <w:rPr>
          <w:lang w:val="ro-RO"/>
        </w:rPr>
        <w:t xml:space="preserve">, în vederea </w:t>
      </w:r>
      <w:r>
        <w:rPr>
          <w:lang w:val="ro-RO"/>
        </w:rPr>
        <w:t xml:space="preserve">atingerii obiectivelor stabilite la nivel național și european de </w:t>
      </w:r>
      <w:r w:rsidRPr="00007A7C">
        <w:rPr>
          <w:lang w:val="ro-RO"/>
        </w:rPr>
        <w:t>reducer</w:t>
      </w:r>
      <w:r>
        <w:rPr>
          <w:lang w:val="ro-RO"/>
        </w:rPr>
        <w:t>e</w:t>
      </w:r>
      <w:r w:rsidRPr="00007A7C">
        <w:rPr>
          <w:lang w:val="ro-RO"/>
        </w:rPr>
        <w:t xml:space="preserve"> semnificativ</w:t>
      </w:r>
      <w:r>
        <w:rPr>
          <w:lang w:val="ro-RO"/>
        </w:rPr>
        <w:t>ă</w:t>
      </w:r>
      <w:r w:rsidRPr="00007A7C">
        <w:rPr>
          <w:lang w:val="ro-RO"/>
        </w:rPr>
        <w:t xml:space="preserve"> a emisiilor </w:t>
      </w:r>
      <w:r>
        <w:rPr>
          <w:lang w:val="ro-RO"/>
        </w:rPr>
        <w:t xml:space="preserve">de gaze cu efect de seră </w:t>
      </w:r>
      <w:r w:rsidRPr="00007A7C">
        <w:rPr>
          <w:lang w:val="ro-RO"/>
        </w:rPr>
        <w:t xml:space="preserve">din </w:t>
      </w:r>
      <w:r>
        <w:rPr>
          <w:lang w:val="ro-RO"/>
        </w:rPr>
        <w:t>sectorul transporturilor</w:t>
      </w:r>
      <w:r w:rsidRPr="00007A7C">
        <w:rPr>
          <w:lang w:val="ro-RO"/>
        </w:rPr>
        <w:t>,</w:t>
      </w:r>
      <w:r>
        <w:rPr>
          <w:lang w:val="ro-RO"/>
        </w:rPr>
        <w:t xml:space="preserve"> </w:t>
      </w:r>
      <w:r w:rsidRPr="00007A7C">
        <w:rPr>
          <w:lang w:val="ro-RO"/>
        </w:rPr>
        <w:t xml:space="preserve">este </w:t>
      </w:r>
      <w:r w:rsidR="00126391">
        <w:rPr>
          <w:lang w:val="ro-RO"/>
        </w:rPr>
        <w:t xml:space="preserve">nevoie de un efort colectiv pe toate modurile de transport, precum și </w:t>
      </w:r>
      <w:r w:rsidRPr="00007A7C">
        <w:rPr>
          <w:lang w:val="ro-RO"/>
        </w:rPr>
        <w:t xml:space="preserve">adoptarea unor măsuri punctuale </w:t>
      </w:r>
      <w:r>
        <w:rPr>
          <w:lang w:val="ro-RO"/>
        </w:rPr>
        <w:t xml:space="preserve">adresate </w:t>
      </w:r>
      <w:r w:rsidR="00596198">
        <w:rPr>
          <w:lang w:val="ro-RO"/>
        </w:rPr>
        <w:t xml:space="preserve">operatorilor </w:t>
      </w:r>
      <w:r w:rsidR="0059535E">
        <w:rPr>
          <w:lang w:val="ro-RO"/>
        </w:rPr>
        <w:t>de transport</w:t>
      </w:r>
      <w:r w:rsidR="00596198">
        <w:rPr>
          <w:lang w:val="ro-RO"/>
        </w:rPr>
        <w:t>,</w:t>
      </w:r>
      <w:r>
        <w:rPr>
          <w:lang w:val="ro-RO"/>
        </w:rPr>
        <w:t xml:space="preserve"> în vederea accelerării investițiilor pentru  reducerea emisiilor de gaze cu efect de seră prin măsuri de  eficiență energetică</w:t>
      </w:r>
      <w:r w:rsidR="006E0BB8">
        <w:rPr>
          <w:lang w:val="ro-RO"/>
        </w:rPr>
        <w:t xml:space="preserve">, achiziția vehiculelor electrice cu baterii pentru transportul rutier și </w:t>
      </w:r>
      <w:r w:rsidR="00596198">
        <w:rPr>
          <w:lang w:val="ro-RO"/>
        </w:rPr>
        <w:t>modernizare</w:t>
      </w:r>
      <w:r w:rsidR="006E0BB8">
        <w:rPr>
          <w:lang w:val="ro-RO"/>
        </w:rPr>
        <w:t>a</w:t>
      </w:r>
      <w:r w:rsidR="00596198">
        <w:rPr>
          <w:lang w:val="ro-RO"/>
        </w:rPr>
        <w:t xml:space="preserve"> vehicule</w:t>
      </w:r>
      <w:r w:rsidR="006E0BB8">
        <w:rPr>
          <w:lang w:val="ro-RO"/>
        </w:rPr>
        <w:t>lor</w:t>
      </w:r>
      <w:r w:rsidR="00596198">
        <w:rPr>
          <w:lang w:val="ro-RO"/>
        </w:rPr>
        <w:t xml:space="preserve"> </w:t>
      </w:r>
      <w:r w:rsidR="006E0BB8">
        <w:rPr>
          <w:lang w:val="ro-RO"/>
        </w:rPr>
        <w:t>(feroviar, maritim și pe căi</w:t>
      </w:r>
      <w:r w:rsidR="00126391">
        <w:rPr>
          <w:lang w:val="ro-RO"/>
        </w:rPr>
        <w:t xml:space="preserve"> navigabile</w:t>
      </w:r>
      <w:r w:rsidR="006E0BB8">
        <w:rPr>
          <w:lang w:val="ro-RO"/>
        </w:rPr>
        <w:t xml:space="preserve"> interioare) </w:t>
      </w:r>
      <w:r w:rsidR="00596198">
        <w:rPr>
          <w:lang w:val="ro-RO"/>
        </w:rPr>
        <w:t xml:space="preserve">prin înlocuirea motoarelor </w:t>
      </w:r>
      <w:r w:rsidR="00F66CA1">
        <w:rPr>
          <w:lang w:val="ro-RO"/>
        </w:rPr>
        <w:t>mari poluatoare</w:t>
      </w:r>
      <w:r w:rsidR="00596198">
        <w:rPr>
          <w:lang w:val="ro-RO"/>
        </w:rPr>
        <w:t xml:space="preserve">, cu alternative nepoluante sau cu emisii zero. </w:t>
      </w:r>
    </w:p>
    <w:p w14:paraId="74199EDE" w14:textId="77777777" w:rsidR="007D07FC" w:rsidRDefault="007D07FC" w:rsidP="002356E9">
      <w:pPr>
        <w:ind w:left="567"/>
        <w:rPr>
          <w:lang w:val="ro-RO"/>
        </w:rPr>
      </w:pPr>
    </w:p>
    <w:p w14:paraId="15F09D4B" w14:textId="77777777" w:rsidR="007D07FC" w:rsidRPr="00573065" w:rsidRDefault="007D07FC" w:rsidP="002356E9">
      <w:pPr>
        <w:ind w:left="567"/>
        <w:rPr>
          <w:lang w:val="ro-RO"/>
        </w:rPr>
      </w:pPr>
      <w:r w:rsidRPr="00573065">
        <w:rPr>
          <w:lang w:val="ro-RO"/>
        </w:rPr>
        <w:t>Art. 2</w:t>
      </w:r>
    </w:p>
    <w:p w14:paraId="4ACEF66D" w14:textId="77777777" w:rsidR="007D07FC" w:rsidRDefault="007D07FC" w:rsidP="002356E9">
      <w:pPr>
        <w:ind w:left="567"/>
        <w:rPr>
          <w:lang w:val="ro-RO"/>
        </w:rPr>
      </w:pPr>
    </w:p>
    <w:p w14:paraId="00D08593" w14:textId="3221E618" w:rsidR="007D07FC" w:rsidRPr="00BE7831" w:rsidRDefault="007D07FC" w:rsidP="002356E9">
      <w:pPr>
        <w:ind w:left="567"/>
        <w:rPr>
          <w:lang w:val="ro-RO"/>
        </w:rPr>
      </w:pPr>
      <w:r>
        <w:rPr>
          <w:lang w:val="ro-RO"/>
        </w:rPr>
        <w:t xml:space="preserve">(1) </w:t>
      </w:r>
      <w:r>
        <w:rPr>
          <w:lang w:val="ro-RO"/>
        </w:rPr>
        <w:tab/>
      </w:r>
      <w:r w:rsidRPr="00BE7831">
        <w:rPr>
          <w:lang w:val="ro-RO"/>
        </w:rPr>
        <w:t xml:space="preserve">Prezenta schemă contribuie la implementarea Programului-cheie </w:t>
      </w:r>
      <w:r>
        <w:rPr>
          <w:lang w:val="ro-RO"/>
        </w:rPr>
        <w:t>9:</w:t>
      </w:r>
      <w:r w:rsidRPr="00370339">
        <w:rPr>
          <w:lang w:val="ro-RO"/>
        </w:rPr>
        <w:t xml:space="preserve"> Eficiență energetică în transporturi - reducerea emisiilor de CO2 prin eficiență energetică și noi tehnologii în transporturi</w:t>
      </w:r>
      <w:r w:rsidRPr="00BE7831">
        <w:rPr>
          <w:lang w:val="ro-RO"/>
        </w:rPr>
        <w:t>, conform prevederilor Ordonanței de Urgență a Guvernului nr. 60/2022 privind stabilirea cadrului instituțional și financiar de implementare și gestionare a fondurilor alocate României prin Fondul pentru modernizare, precum și pentru modificarea și completarea unor acte normative, cu modificările și completările ulterioare, precum și a celor specifice din reglementările Uniunii Europene și naționale, ale strategiilor și documentelor de politici publice naționale și europene.</w:t>
      </w:r>
    </w:p>
    <w:p w14:paraId="5AA100F0" w14:textId="6ADD0A7F" w:rsidR="007D07FC" w:rsidRDefault="007D07FC" w:rsidP="001B294B">
      <w:pPr>
        <w:ind w:left="567"/>
        <w:rPr>
          <w:lang w:val="ro-RO"/>
        </w:rPr>
      </w:pPr>
      <w:r w:rsidRPr="00BE7831">
        <w:rPr>
          <w:lang w:val="ro-RO"/>
        </w:rPr>
        <w:t xml:space="preserve">(2) </w:t>
      </w:r>
      <w:r>
        <w:rPr>
          <w:lang w:val="ro-RO"/>
        </w:rPr>
        <w:tab/>
      </w:r>
      <w:r w:rsidRPr="00BE7831">
        <w:rPr>
          <w:lang w:val="ro-RO"/>
        </w:rPr>
        <w:t xml:space="preserve">Prin prezenta schemă de ajutor de stat este vizată sprijinirea investițiilor </w:t>
      </w:r>
      <w:r w:rsidR="0088688C" w:rsidRPr="0088688C">
        <w:rPr>
          <w:lang w:val="ro-RO"/>
        </w:rPr>
        <w:t xml:space="preserve">destinate </w:t>
      </w:r>
      <w:r w:rsidR="00B810CA" w:rsidRPr="009559E7">
        <w:rPr>
          <w:lang w:val="ro-RO"/>
        </w:rPr>
        <w:t xml:space="preserve">achiziției de vehicule </w:t>
      </w:r>
      <w:r w:rsidR="00B810CA">
        <w:rPr>
          <w:lang w:val="ro-RO"/>
        </w:rPr>
        <w:t xml:space="preserve">HGV </w:t>
      </w:r>
      <w:r w:rsidR="00B810CA" w:rsidRPr="009559E7">
        <w:rPr>
          <w:lang w:val="ro-RO"/>
        </w:rPr>
        <w:t>cu emisii zero pentru transportul rutier și  modernizării vehiculelor pentru transportul feroviar, maritim și pe căi navigabile interioare pentru a se califica drept vehicule nepoluante sau vehicule cu emisii zer</w:t>
      </w:r>
      <w:r w:rsidR="00B810CA">
        <w:rPr>
          <w:lang w:val="ro-RO"/>
        </w:rPr>
        <w:t>o.</w:t>
      </w:r>
    </w:p>
    <w:p w14:paraId="223BE736" w14:textId="2A410F0D" w:rsidR="007C126A" w:rsidRDefault="007C126A" w:rsidP="001B294B">
      <w:pPr>
        <w:ind w:left="567"/>
        <w:rPr>
          <w:lang w:val="ro-RO"/>
        </w:rPr>
      </w:pPr>
      <w:r>
        <w:rPr>
          <w:lang w:val="ro-RO"/>
        </w:rPr>
        <w:t>(3)</w:t>
      </w:r>
      <w:r>
        <w:rPr>
          <w:lang w:val="ro-RO"/>
        </w:rPr>
        <w:tab/>
      </w:r>
      <w:r w:rsidRPr="007C126A">
        <w:rPr>
          <w:lang w:val="ro-RO"/>
        </w:rPr>
        <w:t xml:space="preserve">În cadrul prezentei scheme nu se acordă sprijin financiar pentru sectoarele și domeniile excluse prin Regulament. </w:t>
      </w:r>
    </w:p>
    <w:p w14:paraId="2514C73F" w14:textId="0E1AE8F0" w:rsidR="007C126A" w:rsidRDefault="007C126A" w:rsidP="001B294B">
      <w:pPr>
        <w:ind w:left="567"/>
        <w:rPr>
          <w:lang w:val="ro-RO"/>
        </w:rPr>
      </w:pPr>
      <w:r>
        <w:rPr>
          <w:lang w:val="ro-RO"/>
        </w:rPr>
        <w:t>(4)</w:t>
      </w:r>
      <w:r>
        <w:rPr>
          <w:lang w:val="ro-RO"/>
        </w:rPr>
        <w:tab/>
      </w:r>
      <w:r w:rsidRPr="007C126A">
        <w:rPr>
          <w:lang w:val="ro-RO"/>
        </w:rPr>
        <w:t>În cadrul prezentei scheme nu se acordă ajutoare întreprinderilor care se află în dificultate, astfel cum sunt definite la art. 2 pct. 18 din Regulament.</w:t>
      </w:r>
    </w:p>
    <w:p w14:paraId="6DADDB4A" w14:textId="77777777" w:rsidR="007D07FC" w:rsidRDefault="007D07FC" w:rsidP="002356E9">
      <w:pPr>
        <w:ind w:left="567"/>
        <w:rPr>
          <w:lang w:val="ro-RO"/>
        </w:rPr>
      </w:pPr>
    </w:p>
    <w:p w14:paraId="41C2A4F6" w14:textId="23023CD4" w:rsidR="007D07FC" w:rsidRPr="00BE7831" w:rsidRDefault="0029607E" w:rsidP="002356E9">
      <w:pPr>
        <w:ind w:left="567"/>
        <w:rPr>
          <w:lang w:val="ro-RO"/>
        </w:rPr>
      </w:pPr>
      <w:r>
        <w:rPr>
          <w:lang w:val="ro-RO"/>
        </w:rPr>
        <w:t xml:space="preserve">Capitolul </w:t>
      </w:r>
      <w:r w:rsidR="007D07FC">
        <w:rPr>
          <w:lang w:val="ro-RO"/>
        </w:rPr>
        <w:t xml:space="preserve">II </w:t>
      </w:r>
      <w:r w:rsidR="007D07FC" w:rsidRPr="00BE7831">
        <w:rPr>
          <w:lang w:val="ro-RO"/>
        </w:rPr>
        <w:t>Obiectivul schemei</w:t>
      </w:r>
    </w:p>
    <w:p w14:paraId="633F4D9A" w14:textId="77777777" w:rsidR="007D07FC" w:rsidRDefault="007D07FC" w:rsidP="002356E9">
      <w:pPr>
        <w:ind w:left="567"/>
        <w:rPr>
          <w:lang w:val="ro-RO"/>
        </w:rPr>
      </w:pPr>
      <w:r w:rsidRPr="00BE7831">
        <w:rPr>
          <w:lang w:val="ro-RO"/>
        </w:rPr>
        <w:t>Art. 3</w:t>
      </w:r>
    </w:p>
    <w:p w14:paraId="0E90FDCA" w14:textId="710DA0EA" w:rsidR="007D07FC" w:rsidRDefault="007D07FC" w:rsidP="005803F4">
      <w:pPr>
        <w:ind w:left="567"/>
        <w:rPr>
          <w:lang w:val="ro-RO"/>
        </w:rPr>
      </w:pPr>
      <w:r>
        <w:rPr>
          <w:lang w:val="ro-RO"/>
        </w:rPr>
        <w:t>Scopul și obiectivul ajutorului de stat le reprezintă implementarea unor proiecte de investiții</w:t>
      </w:r>
      <w:r w:rsidRPr="00573065">
        <w:rPr>
          <w:lang w:val="ro-RO"/>
        </w:rPr>
        <w:t xml:space="preserve"> </w:t>
      </w:r>
      <w:r w:rsidR="001B294B" w:rsidRPr="001B294B">
        <w:rPr>
          <w:lang w:val="ro-RO"/>
        </w:rPr>
        <w:t xml:space="preserve">destinate </w:t>
      </w:r>
      <w:r w:rsidR="003817CA" w:rsidRPr="009559E7">
        <w:rPr>
          <w:lang w:val="ro-RO"/>
        </w:rPr>
        <w:t xml:space="preserve">achiziției de vehicule </w:t>
      </w:r>
      <w:r w:rsidR="003817CA">
        <w:rPr>
          <w:lang w:val="ro-RO"/>
        </w:rPr>
        <w:t xml:space="preserve">HGV </w:t>
      </w:r>
      <w:r w:rsidR="003817CA" w:rsidRPr="009559E7">
        <w:rPr>
          <w:lang w:val="ro-RO"/>
        </w:rPr>
        <w:t xml:space="preserve">cu emisii zero pentru transportul rutier și  modernizării vehiculelor pentru transportul feroviar, maritim și pe căi navigabile interioare </w:t>
      </w:r>
      <w:r w:rsidR="001B294B" w:rsidRPr="001B294B">
        <w:rPr>
          <w:lang w:val="ro-RO"/>
        </w:rPr>
        <w:t>modernizării vehiculelor</w:t>
      </w:r>
      <w:r w:rsidR="003817CA">
        <w:rPr>
          <w:lang w:val="ro-RO"/>
        </w:rPr>
        <w:t>,</w:t>
      </w:r>
      <w:r w:rsidR="001B294B" w:rsidRPr="001B294B">
        <w:rPr>
          <w:lang w:val="ro-RO"/>
        </w:rPr>
        <w:t xml:space="preserve"> </w:t>
      </w:r>
      <w:r w:rsidR="00391C8C">
        <w:rPr>
          <w:lang w:val="ro-RO"/>
        </w:rPr>
        <w:t>prin</w:t>
      </w:r>
      <w:r w:rsidR="00391C8C" w:rsidRPr="00391C8C">
        <w:rPr>
          <w:lang w:val="ro-RO"/>
        </w:rPr>
        <w:t xml:space="preserve"> înlocuirea motoarelor cu combustie internă cu motoare hibride sau electrice</w:t>
      </w:r>
      <w:r>
        <w:rPr>
          <w:lang w:val="ro-RO"/>
        </w:rPr>
        <w:t xml:space="preserve">, în conformitate cu strategia Uniunii Europene, promovată prin pachetul ”Pregătiți pentru 55”, </w:t>
      </w:r>
      <w:r w:rsidR="005803F4">
        <w:rPr>
          <w:lang w:val="ro-RO"/>
        </w:rPr>
        <w:t>de r</w:t>
      </w:r>
      <w:r w:rsidR="005803F4" w:rsidRPr="005803F4">
        <w:rPr>
          <w:lang w:val="ro-RO"/>
        </w:rPr>
        <w:t>educere</w:t>
      </w:r>
      <w:r w:rsidR="005803F4">
        <w:rPr>
          <w:lang w:val="ro-RO"/>
        </w:rPr>
        <w:t xml:space="preserve"> </w:t>
      </w:r>
      <w:r w:rsidR="005803F4" w:rsidRPr="005803F4">
        <w:rPr>
          <w:lang w:val="ro-RO"/>
        </w:rPr>
        <w:t>a utilizării combustibililor fosili în transporturi</w:t>
      </w:r>
      <w:r w:rsidR="005803F4">
        <w:rPr>
          <w:lang w:val="ro-RO"/>
        </w:rPr>
        <w:t xml:space="preserve">, </w:t>
      </w:r>
      <w:r w:rsidRPr="000F5747">
        <w:rPr>
          <w:lang w:val="ro-RO"/>
        </w:rPr>
        <w:t xml:space="preserve">precum și ale </w:t>
      </w:r>
      <w:r w:rsidRPr="000F5747">
        <w:rPr>
          <w:lang w:val="ro-RO"/>
        </w:rPr>
        <w:lastRenderedPageBreak/>
        <w:t>angajamentelor Uniunii de a pune în aplicare Acordul de la Paris și obiectivele de dezvoltare durabilă ale ONU</w:t>
      </w:r>
      <w:r>
        <w:rPr>
          <w:lang w:val="ro-RO"/>
        </w:rPr>
        <w:t xml:space="preserve">,  </w:t>
      </w:r>
      <w:r w:rsidRPr="00BE7831">
        <w:rPr>
          <w:lang w:val="ro-RO"/>
        </w:rPr>
        <w:t>contribuind la atingerea obiectivelor asumate de România în cadrul Planului National Integrat în domeniul Energiei și Schimbărilor Climatice 2021 - 2030 (PNIESC)</w:t>
      </w:r>
      <w:r>
        <w:rPr>
          <w:lang w:val="ro-RO"/>
        </w:rPr>
        <w:t>.</w:t>
      </w:r>
      <w:r w:rsidR="0072684D">
        <w:rPr>
          <w:lang w:val="ro-RO"/>
        </w:rPr>
        <w:t xml:space="preserve"> </w:t>
      </w:r>
    </w:p>
    <w:p w14:paraId="1B642220" w14:textId="77777777" w:rsidR="007D07FC" w:rsidRDefault="007D07FC" w:rsidP="002356E9">
      <w:pPr>
        <w:ind w:left="0"/>
        <w:rPr>
          <w:lang w:val="ro-RO"/>
        </w:rPr>
      </w:pPr>
    </w:p>
    <w:p w14:paraId="6B7DF3C6" w14:textId="1BD930D2" w:rsidR="007D07FC" w:rsidRPr="000F5747" w:rsidRDefault="003301A8" w:rsidP="002356E9">
      <w:pPr>
        <w:ind w:left="567"/>
        <w:rPr>
          <w:lang w:val="ro-RO"/>
        </w:rPr>
      </w:pPr>
      <w:r>
        <w:rPr>
          <w:lang w:val="ro-RO"/>
        </w:rPr>
        <w:t xml:space="preserve">Capitolul </w:t>
      </w:r>
      <w:r w:rsidR="007D07FC" w:rsidRPr="000F5747">
        <w:rPr>
          <w:lang w:val="ro-RO"/>
        </w:rPr>
        <w:t>III Necesitatea implementării schemei</w:t>
      </w:r>
    </w:p>
    <w:p w14:paraId="7B3D7583" w14:textId="73EEB3C3" w:rsidR="007D07FC" w:rsidRDefault="007D07FC" w:rsidP="002356E9">
      <w:pPr>
        <w:ind w:left="567"/>
        <w:rPr>
          <w:lang w:val="ro-RO"/>
        </w:rPr>
      </w:pPr>
      <w:r w:rsidRPr="000F5747">
        <w:rPr>
          <w:lang w:val="ro-RO"/>
        </w:rPr>
        <w:t>Art. 4</w:t>
      </w:r>
    </w:p>
    <w:p w14:paraId="7FD21108" w14:textId="77777777" w:rsidR="007D07FC" w:rsidRDefault="007D07FC" w:rsidP="002356E9">
      <w:pPr>
        <w:ind w:left="567"/>
        <w:rPr>
          <w:lang w:val="ro-RO"/>
        </w:rPr>
      </w:pPr>
      <w:r w:rsidRPr="000F5747">
        <w:rPr>
          <w:lang w:val="ro-RO"/>
        </w:rPr>
        <w:t>Implementarea prezentei scheme va contribui la realizarea următoarelor obiective:</w:t>
      </w:r>
    </w:p>
    <w:p w14:paraId="7331A397" w14:textId="77777777" w:rsidR="00D60E38" w:rsidRDefault="007C126A" w:rsidP="00D60E38">
      <w:pPr>
        <w:pStyle w:val="ListParagraph"/>
        <w:numPr>
          <w:ilvl w:val="0"/>
          <w:numId w:val="28"/>
        </w:numPr>
        <w:spacing w:after="0" w:line="240" w:lineRule="auto"/>
        <w:ind w:left="567" w:firstLine="0"/>
        <w:contextualSpacing/>
        <w:rPr>
          <w:lang w:val="ro-RO"/>
        </w:rPr>
      </w:pPr>
      <w:r w:rsidRPr="007C126A">
        <w:rPr>
          <w:lang w:val="ro-RO"/>
        </w:rPr>
        <w:t xml:space="preserve">reducerea emisiilor de gaze cu efect de seră (“GES”) </w:t>
      </w:r>
      <w:r w:rsidRPr="000F5747">
        <w:rPr>
          <w:lang w:val="ro-RO"/>
        </w:rPr>
        <w:t xml:space="preserve">generate de </w:t>
      </w:r>
      <w:r>
        <w:rPr>
          <w:lang w:val="ro-RO"/>
        </w:rPr>
        <w:t xml:space="preserve">arderea combustibililor fosili prin înlocuirea motoarelor </w:t>
      </w:r>
      <w:r w:rsidRPr="00657926">
        <w:rPr>
          <w:lang w:val="ro-RO"/>
        </w:rPr>
        <w:t>cu combustie internă</w:t>
      </w:r>
      <w:r>
        <w:rPr>
          <w:lang w:val="ro-RO"/>
        </w:rPr>
        <w:t xml:space="preserve"> cu alternative nepoluante sau cu emisii zero, </w:t>
      </w:r>
      <w:r w:rsidRPr="007C126A">
        <w:rPr>
          <w:lang w:val="ro-RO"/>
        </w:rPr>
        <w:t>ca urmare a implementării investiției de către beneficiari;</w:t>
      </w:r>
    </w:p>
    <w:p w14:paraId="00B0F52A" w14:textId="216CAF76" w:rsidR="007D07FC" w:rsidRPr="00D60E38" w:rsidRDefault="007D07FC" w:rsidP="00D60E38">
      <w:pPr>
        <w:pStyle w:val="ListParagraph"/>
        <w:numPr>
          <w:ilvl w:val="0"/>
          <w:numId w:val="28"/>
        </w:numPr>
        <w:spacing w:after="0" w:line="240" w:lineRule="auto"/>
        <w:ind w:left="567" w:firstLine="0"/>
        <w:contextualSpacing/>
        <w:rPr>
          <w:lang w:val="ro-RO"/>
        </w:rPr>
      </w:pPr>
      <w:r w:rsidRPr="00D60E38">
        <w:rPr>
          <w:lang w:val="ro-RO"/>
        </w:rPr>
        <w:t>implementarea Programului-cheie 9: Eficiență energetică în transporturi - reducerea emisiilor de CO2 prin eficiență energetică și noi tehnologii în transporturi stabilit în OUG nr. 60/2022 privind stabilirea cadrului instituțional și financiar de implementare și gestionare a fondurilor alocate României prin Fondul pentru modernizare, precum și pentru modificarea și completarea unor acte normative, cu modificările și completările ulterioare;</w:t>
      </w:r>
    </w:p>
    <w:p w14:paraId="1FBA0B46" w14:textId="77777777" w:rsidR="007D07FC" w:rsidRDefault="007D07FC" w:rsidP="002356E9">
      <w:pPr>
        <w:pStyle w:val="ListParagraph"/>
        <w:numPr>
          <w:ilvl w:val="0"/>
          <w:numId w:val="28"/>
        </w:numPr>
        <w:spacing w:after="0" w:line="240" w:lineRule="auto"/>
        <w:ind w:left="567" w:firstLine="0"/>
        <w:contextualSpacing/>
        <w:rPr>
          <w:lang w:val="ro-RO"/>
        </w:rPr>
      </w:pPr>
      <w:r>
        <w:rPr>
          <w:lang w:val="ro-RO"/>
        </w:rPr>
        <w:t>o economie mai eficientă din punctul de vedere al utilizării resurselor, mai ecologică și mai competitivă, conducând la dezvoltarea durabilă, care se bazează, printre altele, pe un nivel înalt de protecție și pe îmbunătățirea calității mediului.</w:t>
      </w:r>
    </w:p>
    <w:p w14:paraId="3F4F4D0E" w14:textId="5FDFB14F" w:rsidR="007D07FC" w:rsidRPr="00DF078F" w:rsidRDefault="007D07FC" w:rsidP="002356E9">
      <w:pPr>
        <w:pStyle w:val="ListParagraph"/>
        <w:numPr>
          <w:ilvl w:val="0"/>
          <w:numId w:val="28"/>
        </w:numPr>
        <w:spacing w:after="0" w:line="240" w:lineRule="auto"/>
        <w:ind w:left="567" w:firstLine="0"/>
        <w:contextualSpacing/>
        <w:rPr>
          <w:lang w:val="ro-RO"/>
        </w:rPr>
      </w:pPr>
      <w:r w:rsidRPr="00DF078F">
        <w:rPr>
          <w:lang w:val="ro-RO"/>
        </w:rPr>
        <w:t xml:space="preserve">reducerea emisiilor de gaze cu efect de seră </w:t>
      </w:r>
      <w:r>
        <w:rPr>
          <w:lang w:val="ro-RO"/>
        </w:rPr>
        <w:t xml:space="preserve">prin </w:t>
      </w:r>
      <w:r w:rsidR="00657926">
        <w:rPr>
          <w:lang w:val="ro-RO"/>
        </w:rPr>
        <w:t>înlocuirea motoarelor cu un grad ridicat de poluare</w:t>
      </w:r>
      <w:r w:rsidRPr="00DF078F">
        <w:rPr>
          <w:lang w:val="ro-RO"/>
        </w:rPr>
        <w:t xml:space="preserve">, ca rezultat al investițiilor </w:t>
      </w:r>
      <w:r>
        <w:rPr>
          <w:lang w:val="ro-RO"/>
        </w:rPr>
        <w:t xml:space="preserve">în </w:t>
      </w:r>
      <w:r w:rsidRPr="00DF078F">
        <w:rPr>
          <w:lang w:val="ro-RO"/>
        </w:rPr>
        <w:t xml:space="preserve"> </w:t>
      </w:r>
      <w:r w:rsidR="00657926">
        <w:rPr>
          <w:lang w:val="ro-RO"/>
        </w:rPr>
        <w:t>alternative nepoluante sau cu emisii zero,</w:t>
      </w:r>
    </w:p>
    <w:p w14:paraId="604BE225" w14:textId="7F81A7E4" w:rsidR="007D07FC" w:rsidRPr="00657926" w:rsidRDefault="007D07FC" w:rsidP="00657926">
      <w:pPr>
        <w:spacing w:after="0" w:line="240" w:lineRule="auto"/>
        <w:ind w:left="567"/>
        <w:contextualSpacing/>
        <w:rPr>
          <w:lang w:val="ro-RO"/>
        </w:rPr>
      </w:pPr>
      <w:r w:rsidRPr="00657926">
        <w:rPr>
          <w:lang w:val="ro-RO"/>
        </w:rPr>
        <w:t>contribuind la obiectivele Pactului verde european ca strategie de creștere sustenabilă a Europei și combaterea schimbărilor climatice în concordanță cu angajamentele Uniunii de a pune în aplicare Acordul de la Paris și obiectivele de dezvoltare durabilă ale ONU;</w:t>
      </w:r>
    </w:p>
    <w:p w14:paraId="435FBA33" w14:textId="77777777" w:rsidR="00552F02" w:rsidRDefault="007D07FC" w:rsidP="00552F02">
      <w:pPr>
        <w:pStyle w:val="ListParagraph"/>
        <w:numPr>
          <w:ilvl w:val="0"/>
          <w:numId w:val="28"/>
        </w:numPr>
        <w:spacing w:after="0" w:line="240" w:lineRule="auto"/>
        <w:ind w:left="567" w:firstLine="0"/>
        <w:contextualSpacing/>
        <w:rPr>
          <w:lang w:val="ro-RO"/>
        </w:rPr>
      </w:pPr>
      <w:r w:rsidRPr="006E7464">
        <w:rPr>
          <w:lang w:val="ro-RO"/>
        </w:rPr>
        <w:t>atingerea obiectivului privind neutralitatea climatică, prevăzut în Regulamentul (UE) 2021/1119 al Parlamentului European și al Consiliului din 30 iunie 2021 de stabilire a cadrului pentru atingerea neutralității climatice și de modificare a Regulamentelor (CE) nr. 401/2009 și (UE) 2018/1999 ("Legea europeană a climei"), referitor la asigurarea, până cel târziu în 2050, a unui echilibru la nivelul Uniunii între emisiile și absorbțiile de gaze cu efect de seră care sunt reglementate în dreptul  Uniunii, astfel încât să se ajungă la zero emisii nete până la acea dată;</w:t>
      </w:r>
    </w:p>
    <w:p w14:paraId="13473A22" w14:textId="146DE19D" w:rsidR="00552F02" w:rsidRDefault="000035B6" w:rsidP="00D60E38">
      <w:pPr>
        <w:pStyle w:val="ListParagraph"/>
        <w:numPr>
          <w:ilvl w:val="0"/>
          <w:numId w:val="28"/>
        </w:numPr>
        <w:spacing w:after="0" w:line="240" w:lineRule="auto"/>
        <w:ind w:left="567" w:firstLine="0"/>
        <w:contextualSpacing/>
        <w:rPr>
          <w:lang w:val="ro-RO"/>
        </w:rPr>
      </w:pPr>
      <w:r>
        <w:rPr>
          <w:lang w:val="ro-RO"/>
        </w:rPr>
        <w:t>atingerea</w:t>
      </w:r>
      <w:r w:rsidR="00552F02" w:rsidRPr="00552F02">
        <w:rPr>
          <w:lang w:val="ro-RO"/>
        </w:rPr>
        <w:t xml:space="preserve"> obiectivel</w:t>
      </w:r>
      <w:r>
        <w:rPr>
          <w:lang w:val="ro-RO"/>
        </w:rPr>
        <w:t>or</w:t>
      </w:r>
      <w:r w:rsidR="00552F02" w:rsidRPr="00552F02">
        <w:rPr>
          <w:lang w:val="ro-RO"/>
        </w:rPr>
        <w:t xml:space="preserve"> stabilite prin Comunicarea Comisiei ”Strategia pentru o mobilitate sustenabilă și inteligentă – înscrierea transporturilor europene pe calea viitorului”</w:t>
      </w:r>
    </w:p>
    <w:p w14:paraId="4003EC57" w14:textId="56750560" w:rsidR="00D60E38" w:rsidRPr="00D60E38" w:rsidRDefault="00D60E38" w:rsidP="00D60E38">
      <w:pPr>
        <w:pStyle w:val="ListParagraph"/>
        <w:numPr>
          <w:ilvl w:val="0"/>
          <w:numId w:val="28"/>
        </w:numPr>
        <w:spacing w:after="0" w:line="240" w:lineRule="auto"/>
        <w:ind w:left="567" w:firstLine="0"/>
        <w:contextualSpacing/>
        <w:rPr>
          <w:lang w:val="ro-RO"/>
        </w:rPr>
      </w:pPr>
      <w:r>
        <w:rPr>
          <w:lang w:val="ro-RO"/>
        </w:rPr>
        <w:t xml:space="preserve">atingerea țintei de reducere a emisiilor din operarea transportului feroviar cu 30% până în 2030  raportat la nivelul din 1990. </w:t>
      </w:r>
    </w:p>
    <w:p w14:paraId="168BFCC6" w14:textId="75373CC8" w:rsidR="00552F02" w:rsidRDefault="00D60E38" w:rsidP="00552F02">
      <w:pPr>
        <w:pStyle w:val="ListParagraph"/>
        <w:numPr>
          <w:ilvl w:val="0"/>
          <w:numId w:val="28"/>
        </w:numPr>
        <w:spacing w:after="0" w:line="240" w:lineRule="auto"/>
        <w:ind w:left="567" w:firstLine="0"/>
        <w:contextualSpacing/>
        <w:rPr>
          <w:lang w:val="ro-RO"/>
        </w:rPr>
      </w:pPr>
      <w:r>
        <w:rPr>
          <w:lang w:val="ro-RO"/>
        </w:rPr>
        <w:t>decarbonizarea transportului rutier și la atingerea obiectivului de 80.000 de vehicule grele electrice până în 2030 la nivelul Uniunii Europen</w:t>
      </w:r>
      <w:r w:rsidR="000035B6">
        <w:rPr>
          <w:lang w:val="ro-RO"/>
        </w:rPr>
        <w:t xml:space="preserve">e și reducerea emisiilor din transporturi până în 2050 cu 90% în raport la anul 1990, în conformitate cu pachetul Fit for 55. </w:t>
      </w:r>
    </w:p>
    <w:p w14:paraId="1B8C9303" w14:textId="77777777" w:rsidR="00552F02" w:rsidRPr="000035B6" w:rsidRDefault="00552F02" w:rsidP="00A01179">
      <w:pPr>
        <w:spacing w:after="0" w:line="240" w:lineRule="auto"/>
        <w:ind w:left="0"/>
        <w:contextualSpacing/>
        <w:rPr>
          <w:lang w:val="ro-RO"/>
        </w:rPr>
      </w:pPr>
    </w:p>
    <w:p w14:paraId="7B902D08" w14:textId="77777777" w:rsidR="00552F02" w:rsidRDefault="00552F02" w:rsidP="00552F02">
      <w:pPr>
        <w:pStyle w:val="ListParagraph"/>
        <w:spacing w:after="0" w:line="240" w:lineRule="auto"/>
        <w:ind w:left="567"/>
        <w:contextualSpacing/>
        <w:rPr>
          <w:lang w:val="ro-RO"/>
        </w:rPr>
      </w:pPr>
    </w:p>
    <w:p w14:paraId="5704A4A2" w14:textId="2CE773C9" w:rsidR="007D07FC" w:rsidRPr="006E7464" w:rsidRDefault="003301A8" w:rsidP="00552F02">
      <w:pPr>
        <w:pStyle w:val="ListParagraph"/>
        <w:spacing w:after="0" w:line="240" w:lineRule="auto"/>
        <w:ind w:left="567"/>
        <w:contextualSpacing/>
        <w:rPr>
          <w:lang w:val="ro-RO"/>
        </w:rPr>
      </w:pPr>
      <w:r>
        <w:rPr>
          <w:lang w:val="ro-RO"/>
        </w:rPr>
        <w:t xml:space="preserve">Capitolul </w:t>
      </w:r>
      <w:r w:rsidR="007D07FC" w:rsidRPr="006E7464">
        <w:rPr>
          <w:lang w:val="ro-RO"/>
        </w:rPr>
        <w:t>IV. Domeniul de aplicare</w:t>
      </w:r>
    </w:p>
    <w:p w14:paraId="172DCFB1" w14:textId="277327D8" w:rsidR="007D07FC" w:rsidRDefault="007D07FC" w:rsidP="002356E9">
      <w:pPr>
        <w:ind w:left="567"/>
        <w:rPr>
          <w:lang w:val="ro-RO"/>
        </w:rPr>
      </w:pPr>
      <w:r w:rsidRPr="006E7464">
        <w:rPr>
          <w:lang w:val="ro-RO"/>
        </w:rPr>
        <w:t>Art. 5</w:t>
      </w:r>
    </w:p>
    <w:p w14:paraId="53856475" w14:textId="573B4B37" w:rsidR="007D07FC" w:rsidRDefault="007D07FC" w:rsidP="002356E9">
      <w:pPr>
        <w:ind w:left="567"/>
        <w:rPr>
          <w:lang w:val="ro-RO"/>
        </w:rPr>
      </w:pPr>
      <w:r>
        <w:rPr>
          <w:lang w:val="ro-RO"/>
        </w:rPr>
        <w:t>(1)</w:t>
      </w:r>
      <w:r>
        <w:rPr>
          <w:lang w:val="ro-RO"/>
        </w:rPr>
        <w:tab/>
      </w:r>
      <w:r w:rsidRPr="006E7464">
        <w:rPr>
          <w:lang w:val="ro-RO"/>
        </w:rPr>
        <w:t xml:space="preserve">Schema de ajutor de stat se adresează </w:t>
      </w:r>
      <w:r w:rsidR="00657926">
        <w:rPr>
          <w:lang w:val="ro-RO"/>
        </w:rPr>
        <w:t xml:space="preserve">operatorilor de transport </w:t>
      </w:r>
      <w:r w:rsidR="0079094C">
        <w:rPr>
          <w:lang w:val="ro-RO"/>
        </w:rPr>
        <w:t xml:space="preserve">rutier, </w:t>
      </w:r>
      <w:r w:rsidR="00657926">
        <w:rPr>
          <w:lang w:val="ro-RO"/>
        </w:rPr>
        <w:t xml:space="preserve">feroviar, maritim și </w:t>
      </w:r>
      <w:r w:rsidR="0079094C">
        <w:rPr>
          <w:lang w:val="ro-RO"/>
        </w:rPr>
        <w:t xml:space="preserve">pe căi </w:t>
      </w:r>
      <w:r w:rsidR="000601C7">
        <w:rPr>
          <w:lang w:val="ro-RO"/>
        </w:rPr>
        <w:t xml:space="preserve">navigabile </w:t>
      </w:r>
      <w:r w:rsidR="0079094C">
        <w:rPr>
          <w:lang w:val="ro-RO"/>
        </w:rPr>
        <w:t>interioare</w:t>
      </w:r>
      <w:r w:rsidR="00657926">
        <w:rPr>
          <w:lang w:val="ro-RO"/>
        </w:rPr>
        <w:t>, înregistrați în</w:t>
      </w:r>
      <w:r>
        <w:rPr>
          <w:lang w:val="ro-RO"/>
        </w:rPr>
        <w:t xml:space="preserve"> România, </w:t>
      </w:r>
      <w:r w:rsidRPr="006E7464">
        <w:rPr>
          <w:lang w:val="ro-RO"/>
        </w:rPr>
        <w:t xml:space="preserve">care au depus la </w:t>
      </w:r>
      <w:r>
        <w:rPr>
          <w:lang w:val="ro-RO"/>
        </w:rPr>
        <w:t>furnizorul</w:t>
      </w:r>
      <w:r w:rsidRPr="006E7464">
        <w:rPr>
          <w:lang w:val="ro-RO"/>
        </w:rPr>
        <w:t xml:space="preserve"> ajutor</w:t>
      </w:r>
      <w:r>
        <w:rPr>
          <w:lang w:val="ro-RO"/>
        </w:rPr>
        <w:t>ului</w:t>
      </w:r>
      <w:r w:rsidRPr="006E7464">
        <w:rPr>
          <w:lang w:val="ro-RO"/>
        </w:rPr>
        <w:t xml:space="preserve"> de stat (</w:t>
      </w:r>
      <w:r>
        <w:rPr>
          <w:lang w:val="ro-RO"/>
        </w:rPr>
        <w:t>MTI</w:t>
      </w:r>
      <w:r w:rsidRPr="006E7464">
        <w:rPr>
          <w:lang w:val="ro-RO"/>
        </w:rPr>
        <w:t xml:space="preserve">) solicitarea pentru acordarea unui ajutor de stat pentru realizarea, pe teritoriul României, </w:t>
      </w:r>
      <w:r w:rsidR="00055ECC">
        <w:rPr>
          <w:lang w:val="ro-RO"/>
        </w:rPr>
        <w:t xml:space="preserve">fie </w:t>
      </w:r>
      <w:r w:rsidRPr="006E7464">
        <w:rPr>
          <w:lang w:val="ro-RO"/>
        </w:rPr>
        <w:t xml:space="preserve">a unei investiții </w:t>
      </w:r>
      <w:r w:rsidR="00657926">
        <w:rPr>
          <w:lang w:val="ro-RO"/>
        </w:rPr>
        <w:t xml:space="preserve">pentru </w:t>
      </w:r>
      <w:r w:rsidR="000601C7">
        <w:rPr>
          <w:lang w:val="ro-RO"/>
        </w:rPr>
        <w:t xml:space="preserve">achiziția </w:t>
      </w:r>
      <w:r w:rsidR="00055ECC">
        <w:rPr>
          <w:lang w:val="ro-RO"/>
        </w:rPr>
        <w:t xml:space="preserve">de vehicule cu emisii zero pentru transportul rutier, fie a unei investiții pentru </w:t>
      </w:r>
      <w:r w:rsidR="00657926">
        <w:rPr>
          <w:lang w:val="ro-RO"/>
        </w:rPr>
        <w:t>modernizarea vehiculelor</w:t>
      </w:r>
      <w:r w:rsidR="00055ECC">
        <w:rPr>
          <w:lang w:val="ro-RO"/>
        </w:rPr>
        <w:t xml:space="preserve"> pentru transportul feroviar, maritim și pe căi navigabile interioare</w:t>
      </w:r>
      <w:r>
        <w:rPr>
          <w:lang w:val="ro-RO"/>
        </w:rPr>
        <w:t xml:space="preserve">, </w:t>
      </w:r>
      <w:r w:rsidRPr="006E7464">
        <w:rPr>
          <w:lang w:val="ro-RO"/>
        </w:rPr>
        <w:t xml:space="preserve">înaintea demarării lucrărilor, conform cerințelor din </w:t>
      </w:r>
      <w:r>
        <w:rPr>
          <w:lang w:val="ro-RO"/>
        </w:rPr>
        <w:t xml:space="preserve">prezenta schemă de ajutor de stat și din </w:t>
      </w:r>
      <w:r w:rsidRPr="006E7464">
        <w:rPr>
          <w:lang w:val="ro-RO"/>
        </w:rPr>
        <w:t xml:space="preserve">Ghidul </w:t>
      </w:r>
      <w:r>
        <w:rPr>
          <w:lang w:val="ro-RO"/>
        </w:rPr>
        <w:t>S</w:t>
      </w:r>
      <w:r w:rsidRPr="006E7464">
        <w:rPr>
          <w:lang w:val="ro-RO"/>
        </w:rPr>
        <w:t>olicitantului.</w:t>
      </w:r>
    </w:p>
    <w:p w14:paraId="09091EC4" w14:textId="2A0754DD" w:rsidR="00B858F9" w:rsidRDefault="007D07FC" w:rsidP="00B858F9">
      <w:pPr>
        <w:ind w:left="567"/>
        <w:rPr>
          <w:lang w:val="ro-RO"/>
        </w:rPr>
      </w:pPr>
      <w:r>
        <w:rPr>
          <w:lang w:val="ro-RO"/>
        </w:rPr>
        <w:lastRenderedPageBreak/>
        <w:t>(</w:t>
      </w:r>
      <w:r w:rsidRPr="006B5D44">
        <w:rPr>
          <w:lang w:val="ro-RO"/>
        </w:rPr>
        <w:t xml:space="preserve">2) Prezenta schemă bazată pe procedură de ofertare </w:t>
      </w:r>
      <w:r w:rsidR="009B74F5" w:rsidRPr="006B5D44">
        <w:rPr>
          <w:lang w:val="ro-RO"/>
        </w:rPr>
        <w:t>concurențială</w:t>
      </w:r>
      <w:r w:rsidRPr="006B5D44">
        <w:rPr>
          <w:lang w:val="ro-RO"/>
        </w:rPr>
        <w:t xml:space="preserve"> se aplică </w:t>
      </w:r>
      <w:r w:rsidR="009B74F5">
        <w:rPr>
          <w:lang w:val="ro-RO"/>
        </w:rPr>
        <w:t xml:space="preserve">pentru </w:t>
      </w:r>
      <w:r w:rsidR="0072684D">
        <w:rPr>
          <w:lang w:val="ro-RO"/>
        </w:rPr>
        <w:t xml:space="preserve">achiziția sau </w:t>
      </w:r>
      <w:r w:rsidR="009B74F5">
        <w:rPr>
          <w:lang w:val="ro-RO"/>
        </w:rPr>
        <w:t>modernizarea</w:t>
      </w:r>
      <w:r w:rsidR="0072684D">
        <w:rPr>
          <w:lang w:val="ro-RO"/>
        </w:rPr>
        <w:t>, după caz, a</w:t>
      </w:r>
      <w:r w:rsidR="009B74F5">
        <w:rPr>
          <w:lang w:val="ro-RO"/>
        </w:rPr>
        <w:t xml:space="preserve"> vehiculelor</w:t>
      </w:r>
      <w:r w:rsidR="00B44A9C">
        <w:rPr>
          <w:lang w:val="ro-RO"/>
        </w:rPr>
        <w:t xml:space="preserve">, </w:t>
      </w:r>
      <w:r w:rsidR="0079094C" w:rsidRPr="0079094C">
        <w:rPr>
          <w:lang w:val="ro-RO"/>
        </w:rPr>
        <w:t>astfel încât să se califice ca vehicule nepoluante sau vehicule cu emisii zero</w:t>
      </w:r>
      <w:r w:rsidR="007731B7">
        <w:rPr>
          <w:lang w:val="ro-RO"/>
        </w:rPr>
        <w:t>, aflate în operare, de cel puțin un an, dovedit cu documente justificative conform Ghidului Solicitantului.</w:t>
      </w:r>
    </w:p>
    <w:p w14:paraId="359D8A7A" w14:textId="61DC6256" w:rsidR="00B858F9" w:rsidRDefault="007D07FC" w:rsidP="002356E9">
      <w:pPr>
        <w:ind w:left="567"/>
        <w:rPr>
          <w:lang w:val="ro-RO"/>
        </w:rPr>
      </w:pPr>
      <w:r w:rsidRPr="00A17F32">
        <w:rPr>
          <w:lang w:val="ro-RO"/>
        </w:rPr>
        <w:t>(</w:t>
      </w:r>
      <w:r>
        <w:rPr>
          <w:lang w:val="ro-RO"/>
        </w:rPr>
        <w:t>3</w:t>
      </w:r>
      <w:r w:rsidRPr="00A17F32">
        <w:rPr>
          <w:lang w:val="ro-RO"/>
        </w:rPr>
        <w:t xml:space="preserve">) </w:t>
      </w:r>
      <w:r w:rsidR="00B858F9" w:rsidRPr="00B858F9">
        <w:rPr>
          <w:lang w:val="ro-RO"/>
        </w:rPr>
        <w:t>Fiecare cerere de finanțare va cuprinde în mod obligatoriu una din următoarele acțiuni:</w:t>
      </w:r>
    </w:p>
    <w:p w14:paraId="0C1AD254" w14:textId="0D5C4206" w:rsidR="006622B3" w:rsidRDefault="00B858F9" w:rsidP="00055ECC">
      <w:pPr>
        <w:ind w:left="1440" w:hanging="873"/>
        <w:rPr>
          <w:lang w:val="ro-RO"/>
        </w:rPr>
      </w:pPr>
      <w:r w:rsidRPr="00E065FC">
        <w:rPr>
          <w:lang w:val="ro-RO"/>
        </w:rPr>
        <w:t>a)</w:t>
      </w:r>
      <w:r w:rsidR="006622B3" w:rsidRPr="00E065FC">
        <w:rPr>
          <w:lang w:val="ro-RO"/>
        </w:rPr>
        <w:tab/>
        <w:t>achiziția de vehicule</w:t>
      </w:r>
      <w:r w:rsidR="00E065FC" w:rsidRPr="00E065FC">
        <w:rPr>
          <w:lang w:val="ro-RO"/>
        </w:rPr>
        <w:t xml:space="preserve"> electrice cu baterie</w:t>
      </w:r>
      <w:r w:rsidR="006622B3" w:rsidRPr="00E065FC">
        <w:rPr>
          <w:lang w:val="ro-RO"/>
        </w:rPr>
        <w:t xml:space="preserve"> pentru transportul rutier </w:t>
      </w:r>
      <w:r w:rsidR="00E065FC" w:rsidRPr="00E065FC">
        <w:rPr>
          <w:lang w:val="ro-RO"/>
        </w:rPr>
        <w:t>astfel încât să se califice ca vehicule cu emisii zero;</w:t>
      </w:r>
    </w:p>
    <w:p w14:paraId="45648C1B" w14:textId="33B9AC80" w:rsidR="00B858F9" w:rsidRDefault="006622B3" w:rsidP="0072684D">
      <w:pPr>
        <w:ind w:left="1440" w:hanging="873"/>
        <w:rPr>
          <w:lang w:val="ro-RO"/>
        </w:rPr>
      </w:pPr>
      <w:r>
        <w:rPr>
          <w:lang w:val="ro-RO"/>
        </w:rPr>
        <w:t xml:space="preserve">b) </w:t>
      </w:r>
      <w:r>
        <w:rPr>
          <w:lang w:val="ro-RO"/>
        </w:rPr>
        <w:tab/>
      </w:r>
      <w:r w:rsidR="00AE68F5">
        <w:rPr>
          <w:lang w:val="ro-RO"/>
        </w:rPr>
        <w:t>modernizarea vehiculelor</w:t>
      </w:r>
      <w:r w:rsidR="00055ECC">
        <w:rPr>
          <w:lang w:val="ro-RO"/>
        </w:rPr>
        <w:t xml:space="preserve"> pentru maritim și pe căi navigabile interioare,</w:t>
      </w:r>
      <w:r w:rsidR="00AE68F5">
        <w:rPr>
          <w:lang w:val="ro-RO"/>
        </w:rPr>
        <w:t xml:space="preserve"> </w:t>
      </w:r>
      <w:r w:rsidR="00AE68F5" w:rsidRPr="0079094C">
        <w:rPr>
          <w:lang w:val="ro-RO"/>
        </w:rPr>
        <w:t>astfel încât să se califice ca vehicule nepoluante</w:t>
      </w:r>
      <w:r w:rsidR="0072684D">
        <w:rPr>
          <w:lang w:val="ro-RO"/>
        </w:rPr>
        <w:t xml:space="preserve"> (BAT)</w:t>
      </w:r>
      <w:r w:rsidR="00AE68F5">
        <w:rPr>
          <w:lang w:val="ro-RO"/>
        </w:rPr>
        <w:t>;</w:t>
      </w:r>
    </w:p>
    <w:p w14:paraId="6FC2C46E" w14:textId="0993B325" w:rsidR="00B858F9" w:rsidRDefault="006622B3" w:rsidP="0072684D">
      <w:pPr>
        <w:ind w:left="1440" w:hanging="873"/>
        <w:rPr>
          <w:lang w:val="ro-RO"/>
        </w:rPr>
      </w:pPr>
      <w:r>
        <w:rPr>
          <w:lang w:val="ro-RO"/>
        </w:rPr>
        <w:t>c</w:t>
      </w:r>
      <w:r w:rsidR="00AE68F5">
        <w:rPr>
          <w:lang w:val="ro-RO"/>
        </w:rPr>
        <w:t>)</w:t>
      </w:r>
      <w:r w:rsidR="00AE68F5">
        <w:rPr>
          <w:lang w:val="ro-RO"/>
        </w:rPr>
        <w:tab/>
        <w:t>modernizarea vehiculelor</w:t>
      </w:r>
      <w:r w:rsidR="00055ECC">
        <w:rPr>
          <w:lang w:val="ro-RO"/>
        </w:rPr>
        <w:t xml:space="preserve"> pentru transportul feroviar, maritim și pe căi navigabile interioare,</w:t>
      </w:r>
      <w:r w:rsidR="00AE68F5">
        <w:rPr>
          <w:lang w:val="ro-RO"/>
        </w:rPr>
        <w:t xml:space="preserve"> </w:t>
      </w:r>
      <w:r w:rsidR="00AE68F5" w:rsidRPr="0079094C">
        <w:rPr>
          <w:lang w:val="ro-RO"/>
        </w:rPr>
        <w:t>astfel încât să se califice ca vehicule cu emisii zero</w:t>
      </w:r>
      <w:r w:rsidR="00C652A3">
        <w:rPr>
          <w:lang w:val="ro-RO"/>
        </w:rPr>
        <w:t>.</w:t>
      </w:r>
    </w:p>
    <w:p w14:paraId="43A8CC34" w14:textId="782AB4D6" w:rsidR="007D07FC" w:rsidRDefault="007D07FC" w:rsidP="002356E9">
      <w:pPr>
        <w:ind w:left="567"/>
        <w:rPr>
          <w:lang w:val="ro-RO"/>
        </w:rPr>
      </w:pPr>
      <w:r>
        <w:rPr>
          <w:lang w:val="ro-RO"/>
        </w:rPr>
        <w:t>(</w:t>
      </w:r>
      <w:r w:rsidR="00AE68F5">
        <w:rPr>
          <w:lang w:val="ro-RO"/>
        </w:rPr>
        <w:t>6</w:t>
      </w:r>
      <w:r w:rsidRPr="004C6B10">
        <w:rPr>
          <w:lang w:val="ro-RO"/>
        </w:rPr>
        <w:t xml:space="preserve">) Furnizorul ajutorului de stat în temeiul prezentei scheme este Ministerul </w:t>
      </w:r>
      <w:r>
        <w:rPr>
          <w:lang w:val="ro-RO"/>
        </w:rPr>
        <w:t>Transporturilor și Infrastructurii</w:t>
      </w:r>
      <w:r w:rsidR="00AE68F5">
        <w:rPr>
          <w:lang w:val="ro-RO"/>
        </w:rPr>
        <w:t xml:space="preserve"> prin Direcția Generală Programe Europene Transport.</w:t>
      </w:r>
    </w:p>
    <w:p w14:paraId="75A00688" w14:textId="77777777" w:rsidR="007D07FC" w:rsidRDefault="007D07FC" w:rsidP="002356E9">
      <w:pPr>
        <w:ind w:left="0"/>
        <w:rPr>
          <w:lang w:val="ro-RO"/>
        </w:rPr>
      </w:pPr>
    </w:p>
    <w:p w14:paraId="17278845" w14:textId="4E7609E8" w:rsidR="007D07FC" w:rsidRPr="004C6B10" w:rsidRDefault="001D1363" w:rsidP="002356E9">
      <w:pPr>
        <w:ind w:left="567"/>
        <w:rPr>
          <w:lang w:val="ro-RO"/>
        </w:rPr>
      </w:pPr>
      <w:r>
        <w:rPr>
          <w:lang w:val="ro-RO"/>
        </w:rPr>
        <w:t xml:space="preserve">Capitolul </w:t>
      </w:r>
      <w:r w:rsidR="007D07FC" w:rsidRPr="004C6B10">
        <w:rPr>
          <w:lang w:val="ro-RO"/>
        </w:rPr>
        <w:t>V. Definiții</w:t>
      </w:r>
    </w:p>
    <w:p w14:paraId="62A37217" w14:textId="77777777" w:rsidR="007D07FC" w:rsidRPr="004C6B10" w:rsidRDefault="007D07FC" w:rsidP="002356E9">
      <w:pPr>
        <w:ind w:left="567"/>
        <w:rPr>
          <w:lang w:val="ro-RO"/>
        </w:rPr>
      </w:pPr>
      <w:r w:rsidRPr="004C6B10">
        <w:rPr>
          <w:lang w:val="ro-RO"/>
        </w:rPr>
        <w:t xml:space="preserve">Art. </w:t>
      </w:r>
      <w:r>
        <w:rPr>
          <w:lang w:val="ro-RO"/>
        </w:rPr>
        <w:t>6</w:t>
      </w:r>
    </w:p>
    <w:p w14:paraId="335CD0F2" w14:textId="77777777" w:rsidR="007D07FC" w:rsidRPr="004C6B10" w:rsidRDefault="007D07FC" w:rsidP="002356E9">
      <w:pPr>
        <w:ind w:left="567"/>
        <w:rPr>
          <w:lang w:val="ro-RO"/>
        </w:rPr>
      </w:pPr>
      <w:r w:rsidRPr="004C6B10">
        <w:rPr>
          <w:lang w:val="ro-RO"/>
        </w:rPr>
        <w:t xml:space="preserve">(1) </w:t>
      </w:r>
      <w:r>
        <w:rPr>
          <w:lang w:val="ro-RO"/>
        </w:rPr>
        <w:t>Î</w:t>
      </w:r>
      <w:r w:rsidRPr="004C6B10">
        <w:rPr>
          <w:lang w:val="ro-RO"/>
        </w:rPr>
        <w:t>n sensul prezentei scheme, termenii și expresiile de mai jos au următoarele semnificații:</w:t>
      </w:r>
    </w:p>
    <w:p w14:paraId="0AC89FAC" w14:textId="77777777" w:rsidR="007D07FC" w:rsidRDefault="007D07FC" w:rsidP="002356E9">
      <w:pPr>
        <w:ind w:left="567"/>
        <w:rPr>
          <w:lang w:val="ro-RO"/>
        </w:rPr>
      </w:pPr>
      <w:r w:rsidRPr="004C6B10">
        <w:rPr>
          <w:lang w:val="ro-RO"/>
        </w:rPr>
        <w:t>a)</w:t>
      </w:r>
      <w:r w:rsidRPr="004C6B10">
        <w:rPr>
          <w:lang w:val="ro-RO"/>
        </w:rPr>
        <w:tab/>
        <w:t>procedură de ofertare concurențială - înseamnă un proces de ofertare nediscriminatoriu care prevede participarea unui număr suficient de solicitanți și în care ajutorul se acordă pe baza ofertei inițiale prezentate de solicitant. De asemenea, bugetul sau volumul aferent procedurii de ofertare reprezintă o constrângere obligatorie, ceea ce creează o situație în care nu toți solicitanții pot primi ajutoare;</w:t>
      </w:r>
    </w:p>
    <w:p w14:paraId="6A37AC8D" w14:textId="41505CF4" w:rsidR="00EF2188" w:rsidRDefault="00EF2188" w:rsidP="002356E9">
      <w:pPr>
        <w:ind w:left="567"/>
        <w:rPr>
          <w:lang w:val="ro-RO"/>
        </w:rPr>
      </w:pPr>
      <w:r>
        <w:rPr>
          <w:lang w:val="ro-RO"/>
        </w:rPr>
        <w:t xml:space="preserve">b) </w:t>
      </w:r>
      <w:r>
        <w:rPr>
          <w:lang w:val="ro-RO"/>
        </w:rPr>
        <w:tab/>
      </w:r>
      <w:r w:rsidRPr="00EF2188">
        <w:rPr>
          <w:lang w:val="ro-RO"/>
        </w:rPr>
        <w:t>vehicul</w:t>
      </w:r>
      <w:r>
        <w:rPr>
          <w:lang w:val="ro-RO"/>
        </w:rPr>
        <w:t xml:space="preserve"> </w:t>
      </w:r>
      <w:r w:rsidRPr="00EF2188">
        <w:rPr>
          <w:lang w:val="ro-RO"/>
        </w:rPr>
        <w:t>înseamnă oricare dintre următoarele:</w:t>
      </w:r>
    </w:p>
    <w:p w14:paraId="0F633A6C" w14:textId="1A66DDE0" w:rsidR="00EF2188" w:rsidRDefault="00EF2188" w:rsidP="00EF2188">
      <w:pPr>
        <w:ind w:left="567" w:firstLine="153"/>
        <w:rPr>
          <w:lang w:val="ro-RO"/>
        </w:rPr>
      </w:pPr>
      <w:r>
        <w:rPr>
          <w:lang w:val="ro-RO"/>
        </w:rPr>
        <w:t xml:space="preserve">-  </w:t>
      </w:r>
      <w:r w:rsidRPr="00EF2188">
        <w:rPr>
          <w:lang w:val="ro-RO"/>
        </w:rPr>
        <w:t>un vehicul rutier din categoria N2</w:t>
      </w:r>
      <w:r>
        <w:rPr>
          <w:lang w:val="ro-RO"/>
        </w:rPr>
        <w:t xml:space="preserve"> sau </w:t>
      </w:r>
      <w:r w:rsidRPr="00EF2188">
        <w:rPr>
          <w:lang w:val="ro-RO"/>
        </w:rPr>
        <w:t>N3 ;</w:t>
      </w:r>
    </w:p>
    <w:p w14:paraId="48DF1287" w14:textId="2D03A69A" w:rsidR="00EF2188" w:rsidRDefault="00EF2188" w:rsidP="00EF2188">
      <w:pPr>
        <w:ind w:left="567" w:firstLine="153"/>
        <w:rPr>
          <w:lang w:val="ro-RO"/>
        </w:rPr>
      </w:pPr>
      <w:r>
        <w:rPr>
          <w:lang w:val="ro-RO"/>
        </w:rPr>
        <w:t xml:space="preserve">-  </w:t>
      </w:r>
      <w:r w:rsidRPr="00EF2188">
        <w:rPr>
          <w:lang w:val="ro-RO"/>
        </w:rPr>
        <w:t xml:space="preserve">o navă de </w:t>
      </w:r>
      <w:proofErr w:type="spellStart"/>
      <w:r w:rsidRPr="00EF2188">
        <w:rPr>
          <w:lang w:val="ro-RO"/>
        </w:rPr>
        <w:t>navigaţie</w:t>
      </w:r>
      <w:proofErr w:type="spellEnd"/>
      <w:r w:rsidRPr="00EF2188">
        <w:rPr>
          <w:lang w:val="ro-RO"/>
        </w:rPr>
        <w:t xml:space="preserve"> interioară sau o navă maritimă și de coastă pentru transportul de pasageri sau de marfă;</w:t>
      </w:r>
    </w:p>
    <w:p w14:paraId="2E0E13FF" w14:textId="0A059181" w:rsidR="00EF2188" w:rsidRPr="004C6B10" w:rsidRDefault="00EF2188" w:rsidP="00EF2188">
      <w:pPr>
        <w:ind w:left="567" w:firstLine="153"/>
        <w:rPr>
          <w:lang w:val="ro-RO"/>
        </w:rPr>
      </w:pPr>
      <w:r>
        <w:rPr>
          <w:lang w:val="ro-RO"/>
        </w:rPr>
        <w:t xml:space="preserve">- </w:t>
      </w:r>
      <w:r w:rsidRPr="00EF2188">
        <w:rPr>
          <w:lang w:val="ro-RO"/>
        </w:rPr>
        <w:t>material rulant</w:t>
      </w:r>
      <w:r w:rsidR="00E3177F">
        <w:rPr>
          <w:lang w:val="ro-RO"/>
        </w:rPr>
        <w:t xml:space="preserve"> feroviar</w:t>
      </w:r>
      <w:r w:rsidR="003345E3">
        <w:rPr>
          <w:lang w:val="ro-RO"/>
        </w:rPr>
        <w:t xml:space="preserve"> de marfă</w:t>
      </w:r>
      <w:r w:rsidRPr="00EF2188">
        <w:rPr>
          <w:lang w:val="ro-RO"/>
        </w:rPr>
        <w:t>;</w:t>
      </w:r>
    </w:p>
    <w:p w14:paraId="51856207" w14:textId="1B4448FC" w:rsidR="007314CB" w:rsidRDefault="007A3091" w:rsidP="002356E9">
      <w:pPr>
        <w:ind w:left="567"/>
        <w:rPr>
          <w:lang w:val="ro-RO"/>
        </w:rPr>
      </w:pPr>
      <w:r>
        <w:rPr>
          <w:lang w:val="ro-RO"/>
        </w:rPr>
        <w:t>c</w:t>
      </w:r>
      <w:r w:rsidR="007D07FC" w:rsidRPr="004C6B10">
        <w:rPr>
          <w:lang w:val="ro-RO"/>
        </w:rPr>
        <w:t>)</w:t>
      </w:r>
      <w:r w:rsidR="007D07FC" w:rsidRPr="004C6B10">
        <w:rPr>
          <w:lang w:val="ro-RO"/>
        </w:rPr>
        <w:tab/>
      </w:r>
      <w:r w:rsidR="007314CB" w:rsidRPr="007314CB">
        <w:rPr>
          <w:lang w:val="ro-RO"/>
        </w:rPr>
        <w:t>vehicul nepoluant</w:t>
      </w:r>
      <w:r w:rsidR="007314CB">
        <w:rPr>
          <w:lang w:val="ro-RO"/>
        </w:rPr>
        <w:t xml:space="preserve"> </w:t>
      </w:r>
      <w:r w:rsidR="007314CB" w:rsidRPr="007314CB">
        <w:rPr>
          <w:lang w:val="ro-RO"/>
        </w:rPr>
        <w:t>înseamnă:</w:t>
      </w:r>
    </w:p>
    <w:p w14:paraId="18ED8E21" w14:textId="76E99B56" w:rsidR="007314CB" w:rsidRPr="00D50BC5" w:rsidRDefault="007314CB" w:rsidP="00D50BC5">
      <w:pPr>
        <w:pStyle w:val="ListParagraph"/>
        <w:numPr>
          <w:ilvl w:val="0"/>
          <w:numId w:val="42"/>
        </w:numPr>
        <w:rPr>
          <w:lang w:val="ro-RO"/>
        </w:rPr>
      </w:pPr>
      <w:r w:rsidRPr="00D50BC5">
        <w:rPr>
          <w:lang w:val="ro-RO"/>
        </w:rPr>
        <w:t xml:space="preserve">în ceea ce privește navele de </w:t>
      </w:r>
      <w:proofErr w:type="spellStart"/>
      <w:r w:rsidRPr="00D50BC5">
        <w:rPr>
          <w:lang w:val="ro-RO"/>
        </w:rPr>
        <w:t>navigaţie</w:t>
      </w:r>
      <w:proofErr w:type="spellEnd"/>
      <w:r w:rsidRPr="00D50BC5">
        <w:rPr>
          <w:lang w:val="ro-RO"/>
        </w:rPr>
        <w:t xml:space="preserve"> interioară: </w:t>
      </w:r>
    </w:p>
    <w:p w14:paraId="77657E9F" w14:textId="6EA9902D" w:rsidR="007314CB" w:rsidRDefault="007314CB" w:rsidP="002356E9">
      <w:pPr>
        <w:ind w:left="567"/>
        <w:rPr>
          <w:lang w:val="ro-RO"/>
        </w:rPr>
      </w:pPr>
      <w:r w:rsidRPr="007314CB">
        <w:rPr>
          <w:lang w:val="ro-RO"/>
        </w:rPr>
        <w:t xml:space="preserve">— o navă de </w:t>
      </w:r>
      <w:proofErr w:type="spellStart"/>
      <w:r w:rsidRPr="007314CB">
        <w:rPr>
          <w:lang w:val="ro-RO"/>
        </w:rPr>
        <w:t>navigaţie</w:t>
      </w:r>
      <w:proofErr w:type="spellEnd"/>
      <w:r w:rsidRPr="007314CB">
        <w:rPr>
          <w:lang w:val="ro-RO"/>
        </w:rPr>
        <w:t xml:space="preserve"> interioară pentru transportul de pasageri care are un motor hibrid sau cu dublă alimentare ce utilizează în timpul </w:t>
      </w:r>
      <w:proofErr w:type="spellStart"/>
      <w:r w:rsidRPr="007314CB">
        <w:rPr>
          <w:lang w:val="ro-RO"/>
        </w:rPr>
        <w:t>funcţionării</w:t>
      </w:r>
      <w:proofErr w:type="spellEnd"/>
      <w:r w:rsidRPr="007314CB">
        <w:rPr>
          <w:lang w:val="ro-RO"/>
        </w:rPr>
        <w:t xml:space="preserve"> normale energie </w:t>
      </w:r>
      <w:proofErr w:type="spellStart"/>
      <w:r w:rsidRPr="007314CB">
        <w:rPr>
          <w:lang w:val="ro-RO"/>
        </w:rPr>
        <w:t>obţinută</w:t>
      </w:r>
      <w:proofErr w:type="spellEnd"/>
      <w:r w:rsidRPr="007314CB">
        <w:rPr>
          <w:lang w:val="ro-RO"/>
        </w:rPr>
        <w:t xml:space="preserve"> în </w:t>
      </w:r>
      <w:proofErr w:type="spellStart"/>
      <w:r w:rsidRPr="007314CB">
        <w:rPr>
          <w:lang w:val="ro-RO"/>
        </w:rPr>
        <w:t>proporţie</w:t>
      </w:r>
      <w:proofErr w:type="spellEnd"/>
      <w:r w:rsidRPr="007314CB">
        <w:rPr>
          <w:lang w:val="ro-RO"/>
        </w:rPr>
        <w:t xml:space="preserve"> de cel </w:t>
      </w:r>
      <w:proofErr w:type="spellStart"/>
      <w:r w:rsidRPr="007314CB">
        <w:rPr>
          <w:lang w:val="ro-RO"/>
        </w:rPr>
        <w:t>puţin</w:t>
      </w:r>
      <w:proofErr w:type="spellEnd"/>
      <w:r w:rsidRPr="007314CB">
        <w:rPr>
          <w:lang w:val="ro-RO"/>
        </w:rPr>
        <w:t xml:space="preserve"> 50 % din combustibili cu zero emisii directe (la </w:t>
      </w:r>
      <w:proofErr w:type="spellStart"/>
      <w:r w:rsidRPr="007314CB">
        <w:rPr>
          <w:lang w:val="ro-RO"/>
        </w:rPr>
        <w:t>ţeava</w:t>
      </w:r>
      <w:proofErr w:type="spellEnd"/>
      <w:r w:rsidRPr="007314CB">
        <w:rPr>
          <w:lang w:val="ro-RO"/>
        </w:rPr>
        <w:t xml:space="preserve"> de evacuare) de CO</w:t>
      </w:r>
      <w:r w:rsidRPr="00E06ABC">
        <w:rPr>
          <w:vertAlign w:val="subscript"/>
          <w:lang w:val="ro-RO"/>
        </w:rPr>
        <w:t>2</w:t>
      </w:r>
      <w:r w:rsidRPr="007314CB">
        <w:rPr>
          <w:lang w:val="ro-RO"/>
        </w:rPr>
        <w:t xml:space="preserve"> sau energie electrică de la priză; </w:t>
      </w:r>
    </w:p>
    <w:p w14:paraId="01A6B886" w14:textId="62ABE280" w:rsidR="007314CB" w:rsidRDefault="007314CB" w:rsidP="002356E9">
      <w:pPr>
        <w:ind w:left="567"/>
        <w:rPr>
          <w:lang w:val="ro-RO"/>
        </w:rPr>
      </w:pPr>
      <w:r w:rsidRPr="007314CB">
        <w:rPr>
          <w:lang w:val="ro-RO"/>
        </w:rPr>
        <w:t xml:space="preserve">— o navă de </w:t>
      </w:r>
      <w:proofErr w:type="spellStart"/>
      <w:r w:rsidRPr="007314CB">
        <w:rPr>
          <w:lang w:val="ro-RO"/>
        </w:rPr>
        <w:t>navigaţie</w:t>
      </w:r>
      <w:proofErr w:type="spellEnd"/>
      <w:r w:rsidRPr="007314CB">
        <w:rPr>
          <w:lang w:val="ro-RO"/>
        </w:rPr>
        <w:t xml:space="preserve"> interioară pentru transportul de marfă care are emisii directe (la </w:t>
      </w:r>
      <w:proofErr w:type="spellStart"/>
      <w:r w:rsidRPr="007314CB">
        <w:rPr>
          <w:lang w:val="ro-RO"/>
        </w:rPr>
        <w:t>ţeava</w:t>
      </w:r>
      <w:proofErr w:type="spellEnd"/>
      <w:r w:rsidRPr="007314CB">
        <w:rPr>
          <w:lang w:val="ro-RO"/>
        </w:rPr>
        <w:t xml:space="preserve"> de evacuare) de </w:t>
      </w:r>
      <w:r w:rsidR="00594C7C" w:rsidRPr="007314CB">
        <w:rPr>
          <w:lang w:val="ro-RO"/>
        </w:rPr>
        <w:t>CO</w:t>
      </w:r>
      <w:r w:rsidR="00594C7C" w:rsidRPr="00E06ABC">
        <w:rPr>
          <w:vertAlign w:val="subscript"/>
          <w:lang w:val="ro-RO"/>
        </w:rPr>
        <w:t>2</w:t>
      </w:r>
      <w:r w:rsidRPr="007314CB">
        <w:rPr>
          <w:lang w:val="ro-RO"/>
        </w:rPr>
        <w:t xml:space="preserve">/tonă-kilometru (g </w:t>
      </w:r>
      <w:r w:rsidR="00594C7C" w:rsidRPr="007314CB">
        <w:rPr>
          <w:lang w:val="ro-RO"/>
        </w:rPr>
        <w:t>CO</w:t>
      </w:r>
      <w:r w:rsidR="00594C7C" w:rsidRPr="00E06ABC">
        <w:rPr>
          <w:vertAlign w:val="subscript"/>
          <w:lang w:val="ro-RO"/>
        </w:rPr>
        <w:t>2</w:t>
      </w:r>
      <w:r w:rsidRPr="007314CB">
        <w:rPr>
          <w:lang w:val="ro-RO"/>
        </w:rPr>
        <w:t>/</w:t>
      </w:r>
      <w:proofErr w:type="spellStart"/>
      <w:r w:rsidRPr="007314CB">
        <w:rPr>
          <w:lang w:val="ro-RO"/>
        </w:rPr>
        <w:t>tkm</w:t>
      </w:r>
      <w:proofErr w:type="spellEnd"/>
      <w:r w:rsidRPr="007314CB">
        <w:rPr>
          <w:lang w:val="ro-RO"/>
        </w:rPr>
        <w:t xml:space="preserve">), calculate (sau estimate, în cazul navelor noi) cu ajutorul indicelui privind </w:t>
      </w:r>
      <w:proofErr w:type="spellStart"/>
      <w:r w:rsidRPr="007314CB">
        <w:rPr>
          <w:lang w:val="ro-RO"/>
        </w:rPr>
        <w:t>eficienţa</w:t>
      </w:r>
      <w:proofErr w:type="spellEnd"/>
      <w:r w:rsidRPr="007314CB">
        <w:rPr>
          <w:lang w:val="ro-RO"/>
        </w:rPr>
        <w:t xml:space="preserve"> energetică în exploatare (EEOI) al </w:t>
      </w:r>
      <w:proofErr w:type="spellStart"/>
      <w:r w:rsidRPr="007314CB">
        <w:rPr>
          <w:lang w:val="ro-RO"/>
        </w:rPr>
        <w:t>Organizaţiei</w:t>
      </w:r>
      <w:proofErr w:type="spellEnd"/>
      <w:r w:rsidRPr="007314CB">
        <w:rPr>
          <w:lang w:val="ro-RO"/>
        </w:rPr>
        <w:t xml:space="preserve"> Maritime </w:t>
      </w:r>
      <w:proofErr w:type="spellStart"/>
      <w:r w:rsidRPr="007314CB">
        <w:rPr>
          <w:lang w:val="ro-RO"/>
        </w:rPr>
        <w:t>Internaţionale</w:t>
      </w:r>
      <w:proofErr w:type="spellEnd"/>
      <w:r w:rsidRPr="007314CB">
        <w:rPr>
          <w:lang w:val="ro-RO"/>
        </w:rPr>
        <w:t xml:space="preserve">, care sunt cu 50 % mai mici decât valoarea medie de </w:t>
      </w:r>
      <w:proofErr w:type="spellStart"/>
      <w:r w:rsidRPr="007314CB">
        <w:rPr>
          <w:lang w:val="ro-RO"/>
        </w:rPr>
        <w:t>referinţă</w:t>
      </w:r>
      <w:proofErr w:type="spellEnd"/>
      <w:r w:rsidRPr="007314CB">
        <w:rPr>
          <w:lang w:val="ro-RO"/>
        </w:rPr>
        <w:t xml:space="preserve"> a emisiilor de </w:t>
      </w:r>
      <w:r w:rsidR="00594C7C" w:rsidRPr="007314CB">
        <w:rPr>
          <w:lang w:val="ro-RO"/>
        </w:rPr>
        <w:t>CO</w:t>
      </w:r>
      <w:r w:rsidR="00594C7C" w:rsidRPr="00E06ABC">
        <w:rPr>
          <w:vertAlign w:val="subscript"/>
          <w:lang w:val="ro-RO"/>
        </w:rPr>
        <w:t>2</w:t>
      </w:r>
      <w:r w:rsidRPr="007314CB">
        <w:rPr>
          <w:lang w:val="ro-RO"/>
        </w:rPr>
        <w:t>stabilită pentru vehiculele grele (subgrupa de vehicule 5-LH), astfel cum a fost publicată în conformitate cu articolul 11 din Regulamentul (UE) 2019/1242;</w:t>
      </w:r>
    </w:p>
    <w:p w14:paraId="6B5E6234" w14:textId="1F34603D" w:rsidR="007314CB" w:rsidRPr="00D50BC5" w:rsidRDefault="007314CB" w:rsidP="00D50BC5">
      <w:pPr>
        <w:pStyle w:val="ListParagraph"/>
        <w:numPr>
          <w:ilvl w:val="0"/>
          <w:numId w:val="42"/>
        </w:numPr>
        <w:rPr>
          <w:lang w:val="ro-RO"/>
        </w:rPr>
      </w:pPr>
      <w:r w:rsidRPr="00D50BC5">
        <w:rPr>
          <w:lang w:val="ro-RO"/>
        </w:rPr>
        <w:t xml:space="preserve"> în ceea ce privește navele maritime: </w:t>
      </w:r>
    </w:p>
    <w:p w14:paraId="1E01E067" w14:textId="47CCBBB7" w:rsidR="007314CB" w:rsidRDefault="007314CB" w:rsidP="002356E9">
      <w:pPr>
        <w:ind w:left="567"/>
        <w:rPr>
          <w:lang w:val="ro-RO"/>
        </w:rPr>
      </w:pPr>
      <w:r w:rsidRPr="007314CB">
        <w:rPr>
          <w:lang w:val="ro-RO"/>
        </w:rPr>
        <w:lastRenderedPageBreak/>
        <w:t xml:space="preserve">— o navă maritimă și de coastă pentru transportul de pasageri, pentru transportul de mărfuri, pentru </w:t>
      </w:r>
      <w:proofErr w:type="spellStart"/>
      <w:r w:rsidRPr="007314CB">
        <w:rPr>
          <w:lang w:val="ro-RO"/>
        </w:rPr>
        <w:t>operaţiuni</w:t>
      </w:r>
      <w:proofErr w:type="spellEnd"/>
      <w:r w:rsidRPr="007314CB">
        <w:rPr>
          <w:lang w:val="ro-RO"/>
        </w:rPr>
        <w:t xml:space="preserve"> portuare sau pentru </w:t>
      </w:r>
      <w:proofErr w:type="spellStart"/>
      <w:r w:rsidRPr="007314CB">
        <w:rPr>
          <w:lang w:val="ro-RO"/>
        </w:rPr>
        <w:t>activităţi</w:t>
      </w:r>
      <w:proofErr w:type="spellEnd"/>
      <w:r w:rsidRPr="007314CB">
        <w:rPr>
          <w:lang w:val="ro-RO"/>
        </w:rPr>
        <w:t xml:space="preserve"> auxiliare care: (i) are un motor hibrid sau cu dublă alimentare care </w:t>
      </w:r>
      <w:proofErr w:type="spellStart"/>
      <w:r w:rsidRPr="007314CB">
        <w:rPr>
          <w:lang w:val="ro-RO"/>
        </w:rPr>
        <w:t>obţine</w:t>
      </w:r>
      <w:proofErr w:type="spellEnd"/>
      <w:r w:rsidRPr="007314CB">
        <w:rPr>
          <w:lang w:val="ro-RO"/>
        </w:rPr>
        <w:t xml:space="preserve"> cel </w:t>
      </w:r>
      <w:proofErr w:type="spellStart"/>
      <w:r w:rsidRPr="007314CB">
        <w:rPr>
          <w:lang w:val="ro-RO"/>
        </w:rPr>
        <w:t>puţin</w:t>
      </w:r>
      <w:proofErr w:type="spellEnd"/>
      <w:r w:rsidRPr="007314CB">
        <w:rPr>
          <w:lang w:val="ro-RO"/>
        </w:rPr>
        <w:t xml:space="preserve"> 25 % din energia sa din combustibili cu zero emisii directe (la </w:t>
      </w:r>
      <w:proofErr w:type="spellStart"/>
      <w:r w:rsidRPr="007314CB">
        <w:rPr>
          <w:lang w:val="ro-RO"/>
        </w:rPr>
        <w:t>ţeava</w:t>
      </w:r>
      <w:proofErr w:type="spellEnd"/>
      <w:r w:rsidRPr="007314CB">
        <w:rPr>
          <w:lang w:val="ro-RO"/>
        </w:rPr>
        <w:t xml:space="preserve"> de evacuare) de CO</w:t>
      </w:r>
      <w:r w:rsidRPr="00A17F60">
        <w:rPr>
          <w:vertAlign w:val="subscript"/>
          <w:lang w:val="ro-RO"/>
        </w:rPr>
        <w:t>2</w:t>
      </w:r>
      <w:r w:rsidRPr="007314CB">
        <w:rPr>
          <w:lang w:val="ro-RO"/>
        </w:rPr>
        <w:t xml:space="preserve"> sau din energie electrică de la priză pentru </w:t>
      </w:r>
      <w:proofErr w:type="spellStart"/>
      <w:r w:rsidRPr="007314CB">
        <w:rPr>
          <w:lang w:val="ro-RO"/>
        </w:rPr>
        <w:t>funcţionarea</w:t>
      </w:r>
      <w:proofErr w:type="spellEnd"/>
      <w:r w:rsidRPr="007314CB">
        <w:rPr>
          <w:lang w:val="ro-RO"/>
        </w:rPr>
        <w:t xml:space="preserve"> sa normală pe mare și în porturi; sau (ii) a atins valoarea indicelui </w:t>
      </w:r>
      <w:proofErr w:type="spellStart"/>
      <w:r w:rsidRPr="007314CB">
        <w:rPr>
          <w:lang w:val="ro-RO"/>
        </w:rPr>
        <w:t>eficienţei</w:t>
      </w:r>
      <w:proofErr w:type="spellEnd"/>
      <w:r w:rsidRPr="007314CB">
        <w:rPr>
          <w:lang w:val="ro-RO"/>
        </w:rPr>
        <w:t xml:space="preserve"> energetice de proiectare (EEDI) al </w:t>
      </w:r>
      <w:proofErr w:type="spellStart"/>
      <w:r w:rsidRPr="007314CB">
        <w:rPr>
          <w:lang w:val="ro-RO"/>
        </w:rPr>
        <w:t>Organizaţiei</w:t>
      </w:r>
      <w:proofErr w:type="spellEnd"/>
      <w:r w:rsidRPr="007314CB">
        <w:rPr>
          <w:lang w:val="ro-RO"/>
        </w:rPr>
        <w:t xml:space="preserve"> Maritime </w:t>
      </w:r>
      <w:proofErr w:type="spellStart"/>
      <w:r w:rsidRPr="007314CB">
        <w:rPr>
          <w:lang w:val="ro-RO"/>
        </w:rPr>
        <w:t>Internaţionale</w:t>
      </w:r>
      <w:proofErr w:type="spellEnd"/>
      <w:r w:rsidRPr="007314CB">
        <w:rPr>
          <w:lang w:val="ro-RO"/>
        </w:rPr>
        <w:t xml:space="preserve"> (EEDI) cu 10 % sub </w:t>
      </w:r>
      <w:proofErr w:type="spellStart"/>
      <w:r w:rsidRPr="007314CB">
        <w:rPr>
          <w:lang w:val="ro-RO"/>
        </w:rPr>
        <w:t>cerinţele</w:t>
      </w:r>
      <w:proofErr w:type="spellEnd"/>
      <w:r w:rsidRPr="007314CB">
        <w:rPr>
          <w:lang w:val="ro-RO"/>
        </w:rPr>
        <w:t xml:space="preserve"> EEDI aplicabile la 1 aprilie 2022 și poate </w:t>
      </w:r>
      <w:proofErr w:type="spellStart"/>
      <w:r w:rsidRPr="007314CB">
        <w:rPr>
          <w:lang w:val="ro-RO"/>
        </w:rPr>
        <w:t>funcţiona</w:t>
      </w:r>
      <w:proofErr w:type="spellEnd"/>
      <w:r w:rsidRPr="007314CB">
        <w:rPr>
          <w:lang w:val="ro-RO"/>
        </w:rPr>
        <w:t xml:space="preserve"> cu combustibili cu zero emisii directe (la </w:t>
      </w:r>
      <w:proofErr w:type="spellStart"/>
      <w:r w:rsidRPr="007314CB">
        <w:rPr>
          <w:lang w:val="ro-RO"/>
        </w:rPr>
        <w:t>ţeava</w:t>
      </w:r>
      <w:proofErr w:type="spellEnd"/>
      <w:r w:rsidRPr="007314CB">
        <w:rPr>
          <w:lang w:val="ro-RO"/>
        </w:rPr>
        <w:t xml:space="preserve"> de evacuare) de CO</w:t>
      </w:r>
      <w:r w:rsidRPr="00A17F60">
        <w:rPr>
          <w:vertAlign w:val="subscript"/>
          <w:lang w:val="ro-RO"/>
        </w:rPr>
        <w:t>2</w:t>
      </w:r>
      <w:r w:rsidRPr="007314CB">
        <w:rPr>
          <w:lang w:val="ro-RO"/>
        </w:rPr>
        <w:t xml:space="preserve"> sau cu combustibili din surse regenerabile; </w:t>
      </w:r>
    </w:p>
    <w:p w14:paraId="1BA0813E" w14:textId="43A6AAB0" w:rsidR="007314CB" w:rsidRDefault="007314CB" w:rsidP="002356E9">
      <w:pPr>
        <w:ind w:left="567"/>
        <w:rPr>
          <w:lang w:val="ro-RO"/>
        </w:rPr>
      </w:pPr>
      <w:r w:rsidRPr="007314CB">
        <w:rPr>
          <w:lang w:val="ro-RO"/>
        </w:rPr>
        <w:t xml:space="preserve">— o navă maritimă și de coastă pentru transportul de mărfuri care este utilizată exclusiv pentru exploatarea de servicii costiere și pe </w:t>
      </w:r>
      <w:proofErr w:type="spellStart"/>
      <w:r w:rsidRPr="007314CB">
        <w:rPr>
          <w:lang w:val="ro-RO"/>
        </w:rPr>
        <w:t>distanţe</w:t>
      </w:r>
      <w:proofErr w:type="spellEnd"/>
      <w:r w:rsidRPr="007314CB">
        <w:rPr>
          <w:lang w:val="ro-RO"/>
        </w:rPr>
        <w:t xml:space="preserve"> scurte, concepută pentru a permite transferul modal al mărfurilor trans </w:t>
      </w:r>
      <w:proofErr w:type="spellStart"/>
      <w:r w:rsidRPr="007314CB">
        <w:rPr>
          <w:lang w:val="ro-RO"/>
        </w:rPr>
        <w:t>portate</w:t>
      </w:r>
      <w:proofErr w:type="spellEnd"/>
      <w:r w:rsidRPr="007314CB">
        <w:rPr>
          <w:lang w:val="ro-RO"/>
        </w:rPr>
        <w:t xml:space="preserve"> în prezent pe cale terestră către transportul pe mare și care are emisii directe (la </w:t>
      </w:r>
      <w:proofErr w:type="spellStart"/>
      <w:r w:rsidRPr="007314CB">
        <w:rPr>
          <w:lang w:val="ro-RO"/>
        </w:rPr>
        <w:t>ţeava</w:t>
      </w:r>
      <w:proofErr w:type="spellEnd"/>
      <w:r w:rsidRPr="007314CB">
        <w:rPr>
          <w:lang w:val="ro-RO"/>
        </w:rPr>
        <w:t xml:space="preserve"> de evacuare) de</w:t>
      </w:r>
      <w:r>
        <w:rPr>
          <w:lang w:val="ro-RO"/>
        </w:rPr>
        <w:t xml:space="preserve"> </w:t>
      </w:r>
      <w:r w:rsidRPr="007314CB">
        <w:rPr>
          <w:lang w:val="ro-RO"/>
        </w:rPr>
        <w:t>CO</w:t>
      </w:r>
      <w:r w:rsidRPr="00A17F60">
        <w:rPr>
          <w:vertAlign w:val="subscript"/>
          <w:lang w:val="ro-RO"/>
        </w:rPr>
        <w:t>2</w:t>
      </w:r>
      <w:r w:rsidRPr="007314CB">
        <w:rPr>
          <w:lang w:val="ro-RO"/>
        </w:rPr>
        <w:t xml:space="preserve"> , calculate cu ajutorul indicelui privind </w:t>
      </w:r>
      <w:proofErr w:type="spellStart"/>
      <w:r w:rsidRPr="007314CB">
        <w:rPr>
          <w:lang w:val="ro-RO"/>
        </w:rPr>
        <w:t>eficienţa</w:t>
      </w:r>
      <w:proofErr w:type="spellEnd"/>
      <w:r w:rsidRPr="007314CB">
        <w:rPr>
          <w:lang w:val="ro-RO"/>
        </w:rPr>
        <w:t xml:space="preserve"> energetică în exploatare (EEDI), cu 50 % mai mici decât valoarea medie de </w:t>
      </w:r>
      <w:proofErr w:type="spellStart"/>
      <w:r w:rsidRPr="007314CB">
        <w:rPr>
          <w:lang w:val="ro-RO"/>
        </w:rPr>
        <w:t>referinţă</w:t>
      </w:r>
      <w:proofErr w:type="spellEnd"/>
      <w:r w:rsidRPr="007314CB">
        <w:rPr>
          <w:lang w:val="ro-RO"/>
        </w:rPr>
        <w:t xml:space="preserve"> a emisiilor de CO</w:t>
      </w:r>
      <w:r w:rsidR="00A17F60" w:rsidRPr="00A17F60">
        <w:rPr>
          <w:vertAlign w:val="subscript"/>
          <w:lang w:val="ro-RO"/>
        </w:rPr>
        <w:t>2</w:t>
      </w:r>
      <w:r w:rsidRPr="007314CB">
        <w:rPr>
          <w:lang w:val="ro-RO"/>
        </w:rPr>
        <w:t xml:space="preserve"> determinată pentru vehiculele grele (subgrupa de vehicule 5-LH) în conformitate cu articolul 11 din Regulamentul (UE) 2019/1242;</w:t>
      </w:r>
    </w:p>
    <w:p w14:paraId="736A7AB6" w14:textId="05B46521" w:rsidR="007314CB" w:rsidRDefault="007A3091" w:rsidP="00EF2188">
      <w:pPr>
        <w:ind w:left="567"/>
        <w:rPr>
          <w:lang w:val="ro-RO"/>
        </w:rPr>
      </w:pPr>
      <w:r>
        <w:rPr>
          <w:lang w:val="ro-RO"/>
        </w:rPr>
        <w:t>d</w:t>
      </w:r>
      <w:r w:rsidR="007314CB">
        <w:rPr>
          <w:lang w:val="ro-RO"/>
        </w:rPr>
        <w:t xml:space="preserve">) </w:t>
      </w:r>
      <w:r w:rsidR="007314CB" w:rsidRPr="007314CB">
        <w:rPr>
          <w:lang w:val="ro-RO"/>
        </w:rPr>
        <w:t>vehicul cu emisii zero înseamnă:</w:t>
      </w:r>
    </w:p>
    <w:p w14:paraId="72C43000" w14:textId="7D99A8F3" w:rsidR="00EF2188" w:rsidRDefault="00EF2188" w:rsidP="00EF2188">
      <w:pPr>
        <w:ind w:left="567"/>
        <w:rPr>
          <w:lang w:val="ro-RO"/>
        </w:rPr>
      </w:pPr>
      <w:r>
        <w:rPr>
          <w:lang w:val="ro-RO"/>
        </w:rPr>
        <w:tab/>
        <w:t xml:space="preserve">i. </w:t>
      </w:r>
      <w:r w:rsidRPr="00EF2188">
        <w:rPr>
          <w:lang w:val="ro-RO"/>
        </w:rPr>
        <w:t>în ceea ce privește vehiculele rutiere grele: un vehicul greu cu emisii zero, astfel cum este definit la articolul 4 punctul 5 din Directiva 2009/33/CE;</w:t>
      </w:r>
    </w:p>
    <w:p w14:paraId="3517917D" w14:textId="793965FB" w:rsidR="00EF2188" w:rsidRDefault="00EF2188" w:rsidP="00EF2188">
      <w:pPr>
        <w:ind w:left="567" w:firstLine="153"/>
        <w:rPr>
          <w:lang w:val="ro-RO"/>
        </w:rPr>
      </w:pPr>
      <w:r>
        <w:rPr>
          <w:lang w:val="ro-RO"/>
        </w:rPr>
        <w:t xml:space="preserve">ii. </w:t>
      </w:r>
      <w:r w:rsidRPr="00EF2188">
        <w:rPr>
          <w:lang w:val="ro-RO"/>
        </w:rPr>
        <w:t xml:space="preserve">în ceea ce privește navele de </w:t>
      </w:r>
      <w:proofErr w:type="spellStart"/>
      <w:r w:rsidRPr="00EF2188">
        <w:rPr>
          <w:lang w:val="ro-RO"/>
        </w:rPr>
        <w:t>navigaţie</w:t>
      </w:r>
      <w:proofErr w:type="spellEnd"/>
      <w:r w:rsidRPr="00EF2188">
        <w:rPr>
          <w:lang w:val="ro-RO"/>
        </w:rPr>
        <w:t xml:space="preserve"> interioară: o navă de </w:t>
      </w:r>
      <w:proofErr w:type="spellStart"/>
      <w:r w:rsidRPr="00EF2188">
        <w:rPr>
          <w:lang w:val="ro-RO"/>
        </w:rPr>
        <w:t>navigaţie</w:t>
      </w:r>
      <w:proofErr w:type="spellEnd"/>
      <w:r w:rsidRPr="00EF2188">
        <w:rPr>
          <w:lang w:val="ro-RO"/>
        </w:rPr>
        <w:t xml:space="preserve"> interioară sau o navă pentru transportul de pasageri sau de marfă care are zero emisii directe (la </w:t>
      </w:r>
      <w:proofErr w:type="spellStart"/>
      <w:r w:rsidRPr="00EF2188">
        <w:rPr>
          <w:lang w:val="ro-RO"/>
        </w:rPr>
        <w:t>ţeava</w:t>
      </w:r>
      <w:proofErr w:type="spellEnd"/>
      <w:r w:rsidRPr="00EF2188">
        <w:rPr>
          <w:lang w:val="ro-RO"/>
        </w:rPr>
        <w:t xml:space="preserve"> de evacuare/</w:t>
      </w:r>
      <w:proofErr w:type="spellStart"/>
      <w:r w:rsidRPr="00EF2188">
        <w:rPr>
          <w:lang w:val="ro-RO"/>
        </w:rPr>
        <w:t>ţeava</w:t>
      </w:r>
      <w:proofErr w:type="spellEnd"/>
      <w:r w:rsidRPr="00EF2188">
        <w:rPr>
          <w:lang w:val="ro-RO"/>
        </w:rPr>
        <w:t xml:space="preserve"> de eșapament) de </w:t>
      </w:r>
      <w:r w:rsidR="00594C7C" w:rsidRPr="007314CB">
        <w:rPr>
          <w:lang w:val="ro-RO"/>
        </w:rPr>
        <w:t>CO</w:t>
      </w:r>
      <w:r w:rsidR="00594C7C" w:rsidRPr="00E06ABC">
        <w:rPr>
          <w:vertAlign w:val="subscript"/>
          <w:lang w:val="ro-RO"/>
        </w:rPr>
        <w:t>2</w:t>
      </w:r>
      <w:r w:rsidRPr="00EF2188">
        <w:rPr>
          <w:lang w:val="ro-RO"/>
        </w:rPr>
        <w:t>;</w:t>
      </w:r>
    </w:p>
    <w:p w14:paraId="4D15D68B" w14:textId="77777777" w:rsidR="009F71A1" w:rsidRDefault="00EF2188" w:rsidP="009F71A1">
      <w:pPr>
        <w:ind w:left="567" w:firstLine="153"/>
        <w:rPr>
          <w:lang w:val="ro-RO"/>
        </w:rPr>
      </w:pPr>
      <w:r>
        <w:rPr>
          <w:lang w:val="ro-RO"/>
        </w:rPr>
        <w:t xml:space="preserve">iii. </w:t>
      </w:r>
      <w:r w:rsidRPr="00EF2188">
        <w:rPr>
          <w:lang w:val="ro-RO"/>
        </w:rPr>
        <w:t xml:space="preserve">în ceea ce privește navele maritime: o navă maritimă și de coastă pentru transportul de pasageri sau de marfă, pentru </w:t>
      </w:r>
      <w:proofErr w:type="spellStart"/>
      <w:r w:rsidRPr="00EF2188">
        <w:rPr>
          <w:lang w:val="ro-RO"/>
        </w:rPr>
        <w:t>operaţiuni</w:t>
      </w:r>
      <w:proofErr w:type="spellEnd"/>
      <w:r w:rsidRPr="00EF2188">
        <w:rPr>
          <w:lang w:val="ro-RO"/>
        </w:rPr>
        <w:t xml:space="preserve"> portuare sau pentru </w:t>
      </w:r>
      <w:proofErr w:type="spellStart"/>
      <w:r w:rsidRPr="00EF2188">
        <w:rPr>
          <w:lang w:val="ro-RO"/>
        </w:rPr>
        <w:t>activităţi</w:t>
      </w:r>
      <w:proofErr w:type="spellEnd"/>
      <w:r w:rsidRPr="00EF2188">
        <w:rPr>
          <w:lang w:val="ro-RO"/>
        </w:rPr>
        <w:t xml:space="preserve"> auxiliare care are zero emisii directe (la </w:t>
      </w:r>
      <w:proofErr w:type="spellStart"/>
      <w:r w:rsidRPr="00EF2188">
        <w:rPr>
          <w:lang w:val="ro-RO"/>
        </w:rPr>
        <w:t>ţeava</w:t>
      </w:r>
      <w:proofErr w:type="spellEnd"/>
      <w:r w:rsidRPr="00EF2188">
        <w:rPr>
          <w:lang w:val="ro-RO"/>
        </w:rPr>
        <w:t xml:space="preserve"> de evacuare) de </w:t>
      </w:r>
      <w:r w:rsidR="00594C7C" w:rsidRPr="007314CB">
        <w:rPr>
          <w:lang w:val="ro-RO"/>
        </w:rPr>
        <w:t>CO</w:t>
      </w:r>
      <w:r w:rsidR="00594C7C" w:rsidRPr="00E06ABC">
        <w:rPr>
          <w:vertAlign w:val="subscript"/>
          <w:lang w:val="ro-RO"/>
        </w:rPr>
        <w:t>2</w:t>
      </w:r>
      <w:r w:rsidRPr="00EF2188">
        <w:rPr>
          <w:lang w:val="ro-RO"/>
        </w:rPr>
        <w:t>;</w:t>
      </w:r>
    </w:p>
    <w:p w14:paraId="50C05221" w14:textId="106DD1F5" w:rsidR="00EF2188" w:rsidRPr="009F71A1" w:rsidRDefault="009F71A1" w:rsidP="009F71A1">
      <w:pPr>
        <w:ind w:left="567" w:firstLine="153"/>
        <w:rPr>
          <w:lang w:val="ro-RO"/>
        </w:rPr>
      </w:pPr>
      <w:r>
        <w:rPr>
          <w:lang w:val="ro-RO"/>
        </w:rPr>
        <w:t xml:space="preserve">iv. </w:t>
      </w:r>
      <w:r w:rsidR="00EF2188" w:rsidRPr="009F71A1">
        <w:rPr>
          <w:lang w:val="ro-RO"/>
        </w:rPr>
        <w:t xml:space="preserve">în ceea ce privește materialul rulant feroviar: materialul rulant care are zero emisii directe (la </w:t>
      </w:r>
      <w:r w:rsidR="00C936B0" w:rsidRPr="009F71A1">
        <w:rPr>
          <w:lang w:val="ro-RO"/>
        </w:rPr>
        <w:t>țeava</w:t>
      </w:r>
      <w:r w:rsidR="00EF2188" w:rsidRPr="009F71A1">
        <w:rPr>
          <w:lang w:val="ro-RO"/>
        </w:rPr>
        <w:t xml:space="preserve"> de evacuare) de </w:t>
      </w:r>
      <w:r w:rsidR="00594C7C" w:rsidRPr="009F71A1">
        <w:rPr>
          <w:lang w:val="ro-RO"/>
        </w:rPr>
        <w:t>CO</w:t>
      </w:r>
      <w:r w:rsidR="00594C7C" w:rsidRPr="009F71A1">
        <w:rPr>
          <w:vertAlign w:val="subscript"/>
          <w:lang w:val="ro-RO"/>
        </w:rPr>
        <w:t>2</w:t>
      </w:r>
      <w:r w:rsidR="00EF2188" w:rsidRPr="009F71A1">
        <w:rPr>
          <w:lang w:val="ro-RO"/>
        </w:rPr>
        <w:t>;</w:t>
      </w:r>
    </w:p>
    <w:p w14:paraId="2AD19BB0" w14:textId="5FF8BD58" w:rsidR="00826780" w:rsidRDefault="00826780" w:rsidP="00826780">
      <w:pPr>
        <w:ind w:left="567"/>
        <w:rPr>
          <w:lang w:val="ro-RO"/>
        </w:rPr>
      </w:pPr>
      <w:r>
        <w:rPr>
          <w:lang w:val="ro-RO"/>
        </w:rPr>
        <w:t>e)</w:t>
      </w:r>
      <w:r w:rsidRPr="00826780">
        <w:rPr>
          <w:lang w:val="ro-RO"/>
        </w:rPr>
        <w:t xml:space="preserve"> </w:t>
      </w:r>
      <w:r w:rsidR="00496FBA">
        <w:rPr>
          <w:lang w:val="ro-RO"/>
        </w:rPr>
        <w:tab/>
      </w:r>
      <w:r w:rsidRPr="00826780">
        <w:rPr>
          <w:lang w:val="ro-RO"/>
        </w:rPr>
        <w:t>vehicul electric cu baterie înseamnă un vehicul nou care este propulsat de o baterie electrică care poate fi încărcată și reîncărcată numai prin conectarea la o sursă externă de energie electrică;</w:t>
      </w:r>
    </w:p>
    <w:p w14:paraId="0327FD32" w14:textId="0EA16051" w:rsidR="00826780" w:rsidRPr="00826780" w:rsidRDefault="00826780" w:rsidP="00826780">
      <w:pPr>
        <w:ind w:left="567"/>
        <w:rPr>
          <w:lang w:val="ro-RO"/>
        </w:rPr>
      </w:pPr>
      <w:r>
        <w:rPr>
          <w:lang w:val="ro-RO"/>
        </w:rPr>
        <w:t xml:space="preserve">f) </w:t>
      </w:r>
      <w:r w:rsidR="00496FBA">
        <w:rPr>
          <w:lang w:val="ro-RO"/>
        </w:rPr>
        <w:tab/>
      </w:r>
      <w:r>
        <w:rPr>
          <w:lang w:val="ro-RO"/>
        </w:rPr>
        <w:t xml:space="preserve">în sensul prezentei scheme </w:t>
      </w:r>
      <w:r w:rsidRPr="00826780">
        <w:rPr>
          <w:lang w:val="ro-RO"/>
        </w:rPr>
        <w:t>„H</w:t>
      </w:r>
      <w:r>
        <w:rPr>
          <w:lang w:val="ro-RO"/>
        </w:rPr>
        <w:t>G</w:t>
      </w:r>
      <w:r w:rsidRPr="00826780">
        <w:rPr>
          <w:lang w:val="ro-RO"/>
        </w:rPr>
        <w:t xml:space="preserve">V” înseamnă un </w:t>
      </w:r>
      <w:r w:rsidR="00496FBA" w:rsidRPr="00496FBA">
        <w:rPr>
          <w:lang w:val="ro-RO"/>
        </w:rPr>
        <w:t>vehicu</w:t>
      </w:r>
      <w:r w:rsidR="00496FBA">
        <w:rPr>
          <w:lang w:val="ro-RO"/>
        </w:rPr>
        <w:t>l</w:t>
      </w:r>
      <w:r w:rsidR="00496FBA" w:rsidRPr="00496FBA">
        <w:rPr>
          <w:lang w:val="ro-RO"/>
        </w:rPr>
        <w:t xml:space="preserve"> gre</w:t>
      </w:r>
      <w:r w:rsidR="00496FBA">
        <w:rPr>
          <w:lang w:val="ro-RO"/>
        </w:rPr>
        <w:t>u</w:t>
      </w:r>
      <w:r w:rsidR="00496FBA" w:rsidRPr="00496FBA">
        <w:rPr>
          <w:lang w:val="ro-RO"/>
        </w:rPr>
        <w:t xml:space="preserve"> de marfă</w:t>
      </w:r>
      <w:r w:rsidRPr="00826780">
        <w:rPr>
          <w:lang w:val="ro-RO"/>
        </w:rPr>
        <w:t xml:space="preserve">, </w:t>
      </w:r>
      <w:r>
        <w:rPr>
          <w:lang w:val="ro-RO"/>
        </w:rPr>
        <w:t>respectiv</w:t>
      </w:r>
      <w:r w:rsidRPr="00826780">
        <w:rPr>
          <w:lang w:val="ro-RO"/>
        </w:rPr>
        <w:t xml:space="preserve"> o </w:t>
      </w:r>
      <w:r w:rsidR="00496FBA" w:rsidRPr="00826780">
        <w:rPr>
          <w:lang w:val="ro-RO"/>
        </w:rPr>
        <w:t>dubită</w:t>
      </w:r>
      <w:r>
        <w:rPr>
          <w:lang w:val="ro-RO"/>
        </w:rPr>
        <w:t xml:space="preserve"> sau </w:t>
      </w:r>
      <w:r w:rsidRPr="00826780">
        <w:rPr>
          <w:lang w:val="ro-RO"/>
        </w:rPr>
        <w:t>un camion, cu o greutate brută proiectată fără încărcătură mai mare de 3,5 tone;</w:t>
      </w:r>
    </w:p>
    <w:p w14:paraId="512D5D5D" w14:textId="43752B0A" w:rsidR="00594384" w:rsidRDefault="00496FBA" w:rsidP="002356E9">
      <w:pPr>
        <w:ind w:left="567"/>
        <w:rPr>
          <w:lang w:val="ro-RO"/>
        </w:rPr>
      </w:pPr>
      <w:r>
        <w:rPr>
          <w:lang w:val="ro-RO"/>
        </w:rPr>
        <w:t>g</w:t>
      </w:r>
      <w:r w:rsidR="007D07FC" w:rsidRPr="007314CB">
        <w:rPr>
          <w:lang w:val="ro-RO"/>
        </w:rPr>
        <w:t xml:space="preserve">) </w:t>
      </w:r>
      <w:r w:rsidR="007D07FC" w:rsidRPr="007314CB">
        <w:rPr>
          <w:lang w:val="ro-RO"/>
        </w:rPr>
        <w:tab/>
      </w:r>
      <w:r w:rsidR="00163399" w:rsidRPr="007314CB">
        <w:rPr>
          <w:lang w:val="ro-RO"/>
        </w:rPr>
        <w:t xml:space="preserve">costuri eligibile - </w:t>
      </w:r>
      <w:r w:rsidR="00163399">
        <w:rPr>
          <w:lang w:val="ro-RO"/>
        </w:rPr>
        <w:t xml:space="preserve">pentru investițiile care constau în achiziția de vehicule pentru transportul rutier, astfel încât să se încadreze în vehicule cu zero emisii, costurile </w:t>
      </w:r>
      <w:r w:rsidR="00163399" w:rsidRPr="00594384">
        <w:rPr>
          <w:lang w:val="ro-RO"/>
        </w:rPr>
        <w:t xml:space="preserve">suplimentare pentru </w:t>
      </w:r>
      <w:r w:rsidR="00C64172" w:rsidRPr="00594384">
        <w:rPr>
          <w:lang w:val="ro-RO"/>
        </w:rPr>
        <w:t>achiziționarea</w:t>
      </w:r>
      <w:r w:rsidR="00163399" w:rsidRPr="00594384">
        <w:rPr>
          <w:lang w:val="ro-RO"/>
        </w:rPr>
        <w:t xml:space="preserve"> vehiculului cu emisii zero. Acestea se calculează ca </w:t>
      </w:r>
      <w:r w:rsidR="00C64172" w:rsidRPr="00594384">
        <w:rPr>
          <w:b/>
          <w:bCs/>
          <w:lang w:val="ro-RO"/>
        </w:rPr>
        <w:t>diferența</w:t>
      </w:r>
      <w:r w:rsidR="00163399" w:rsidRPr="00594384">
        <w:rPr>
          <w:b/>
          <w:bCs/>
          <w:lang w:val="ro-RO"/>
        </w:rPr>
        <w:t xml:space="preserve"> dintre costurile de </w:t>
      </w:r>
      <w:r w:rsidR="00C64172" w:rsidRPr="00594384">
        <w:rPr>
          <w:b/>
          <w:bCs/>
          <w:lang w:val="ro-RO"/>
        </w:rPr>
        <w:t>investiții</w:t>
      </w:r>
      <w:r w:rsidR="00163399" w:rsidRPr="00594384">
        <w:rPr>
          <w:b/>
          <w:bCs/>
          <w:lang w:val="ro-RO"/>
        </w:rPr>
        <w:t xml:space="preserve"> pentru </w:t>
      </w:r>
      <w:r w:rsidR="00C64172" w:rsidRPr="00594384">
        <w:rPr>
          <w:b/>
          <w:bCs/>
          <w:lang w:val="ro-RO"/>
        </w:rPr>
        <w:t>achiziționarea</w:t>
      </w:r>
      <w:r w:rsidR="00163399" w:rsidRPr="00594384">
        <w:rPr>
          <w:b/>
          <w:bCs/>
          <w:lang w:val="ro-RO"/>
        </w:rPr>
        <w:t xml:space="preserve"> vehiculului cu emisii zero și costurile de </w:t>
      </w:r>
      <w:r w:rsidR="00C64172" w:rsidRPr="00594384">
        <w:rPr>
          <w:b/>
          <w:bCs/>
          <w:lang w:val="ro-RO"/>
        </w:rPr>
        <w:t>investiții</w:t>
      </w:r>
      <w:r w:rsidR="00163399" w:rsidRPr="00594384">
        <w:rPr>
          <w:b/>
          <w:bCs/>
          <w:lang w:val="ro-RO"/>
        </w:rPr>
        <w:t xml:space="preserve"> aferente </w:t>
      </w:r>
      <w:r w:rsidR="00C64172" w:rsidRPr="00594384">
        <w:rPr>
          <w:b/>
          <w:bCs/>
          <w:lang w:val="ro-RO"/>
        </w:rPr>
        <w:t>achiziționării</w:t>
      </w:r>
      <w:r w:rsidR="00163399" w:rsidRPr="00594384">
        <w:rPr>
          <w:b/>
          <w:bCs/>
          <w:lang w:val="ro-RO"/>
        </w:rPr>
        <w:t xml:space="preserve"> unui vehicul din aceeași categorie</w:t>
      </w:r>
      <w:r w:rsidR="00163399" w:rsidRPr="00594384">
        <w:rPr>
          <w:lang w:val="ro-RO"/>
        </w:rPr>
        <w:t xml:space="preserve"> care respectă standardele aplicabile ale Uniunii deja în vigoare și care ar fi fost achiziționat fără ajutor</w:t>
      </w:r>
      <w:r w:rsidR="00821F8F">
        <w:rPr>
          <w:lang w:val="ro-RO"/>
        </w:rPr>
        <w:t xml:space="preserve">, așa cum sunt prezentate în anexa II </w:t>
      </w:r>
      <w:r w:rsidR="00625BB6">
        <w:rPr>
          <w:lang w:val="ro-RO"/>
        </w:rPr>
        <w:t>l</w:t>
      </w:r>
      <w:r w:rsidR="00821F8F">
        <w:rPr>
          <w:lang w:val="ro-RO"/>
        </w:rPr>
        <w:t>a prezent</w:t>
      </w:r>
      <w:r w:rsidR="00625BB6">
        <w:rPr>
          <w:lang w:val="ro-RO"/>
        </w:rPr>
        <w:t>a</w:t>
      </w:r>
      <w:r w:rsidR="00821F8F">
        <w:rPr>
          <w:lang w:val="ro-RO"/>
        </w:rPr>
        <w:t xml:space="preserve"> schem</w:t>
      </w:r>
      <w:r w:rsidR="00625BB6">
        <w:rPr>
          <w:lang w:val="ro-RO"/>
        </w:rPr>
        <w:t>ă</w:t>
      </w:r>
      <w:r w:rsidR="00C652A3">
        <w:rPr>
          <w:lang w:val="ro-RO"/>
        </w:rPr>
        <w:t>;</w:t>
      </w:r>
    </w:p>
    <w:p w14:paraId="61F5B2F6" w14:textId="68BEC6CE" w:rsidR="007D07FC" w:rsidRPr="007314CB" w:rsidRDefault="00594384" w:rsidP="00163399">
      <w:pPr>
        <w:ind w:left="567"/>
        <w:rPr>
          <w:lang w:val="ro-RO"/>
        </w:rPr>
      </w:pPr>
      <w:r>
        <w:rPr>
          <w:lang w:val="ro-RO"/>
        </w:rPr>
        <w:t>g</w:t>
      </w:r>
      <w:r w:rsidRPr="00594384">
        <w:rPr>
          <w:vertAlign w:val="superscript"/>
          <w:lang w:val="ro-RO"/>
        </w:rPr>
        <w:t>1</w:t>
      </w:r>
      <w:r>
        <w:rPr>
          <w:lang w:val="ro-RO"/>
        </w:rPr>
        <w:t>)</w:t>
      </w:r>
      <w:r w:rsidR="00163399" w:rsidRPr="00163399">
        <w:rPr>
          <w:lang w:val="ro-RO"/>
        </w:rPr>
        <w:t xml:space="preserve"> </w:t>
      </w:r>
      <w:r w:rsidR="00163399">
        <w:rPr>
          <w:lang w:val="ro-RO"/>
        </w:rPr>
        <w:tab/>
      </w:r>
      <w:r w:rsidR="00163399" w:rsidRPr="007314CB">
        <w:rPr>
          <w:lang w:val="ro-RO"/>
        </w:rPr>
        <w:t>costuri eligibile - pentru investițiile care constau în modernizarea vehiculelor astfel încât să se califice ca vehicule nepoluante sau vehicule cu emisii zero, costurile investiției în modernizare</w:t>
      </w:r>
      <w:r w:rsidR="00C652A3">
        <w:rPr>
          <w:lang w:val="ro-RO"/>
        </w:rPr>
        <w:t>;</w:t>
      </w:r>
    </w:p>
    <w:p w14:paraId="29DF8240" w14:textId="3E60EC06" w:rsidR="007D07FC" w:rsidRPr="007A3091" w:rsidRDefault="00496FBA" w:rsidP="002356E9">
      <w:pPr>
        <w:ind w:left="567"/>
        <w:rPr>
          <w:lang w:val="ro-RO"/>
        </w:rPr>
      </w:pPr>
      <w:r>
        <w:rPr>
          <w:lang w:val="ro-RO"/>
        </w:rPr>
        <w:t>h</w:t>
      </w:r>
      <w:r w:rsidR="007D07FC" w:rsidRPr="00540480">
        <w:rPr>
          <w:lang w:val="ro-RO"/>
        </w:rPr>
        <w:t>) data acordării ajutorului - data la care dreptul legal de a primi ajutorul este conferit beneficiarului în conformitate cu regimul juridic național aplicabil, indiferent de data la care ajutorul se plătește;</w:t>
      </w:r>
    </w:p>
    <w:p w14:paraId="7E94A6E4" w14:textId="12B42217" w:rsidR="007D07FC" w:rsidRPr="00540480" w:rsidRDefault="00496FBA" w:rsidP="002356E9">
      <w:pPr>
        <w:ind w:left="567"/>
        <w:rPr>
          <w:lang w:val="ro-RO"/>
        </w:rPr>
      </w:pPr>
      <w:r>
        <w:rPr>
          <w:lang w:val="ro-RO"/>
        </w:rPr>
        <w:lastRenderedPageBreak/>
        <w:t>i</w:t>
      </w:r>
      <w:r w:rsidR="007D07FC" w:rsidRPr="00540480">
        <w:rPr>
          <w:lang w:val="ro-RO"/>
        </w:rPr>
        <w:t xml:space="preserve">) </w:t>
      </w:r>
      <w:r w:rsidR="007D07FC" w:rsidRPr="00540480">
        <w:rPr>
          <w:lang w:val="ro-RO"/>
        </w:rPr>
        <w:tab/>
        <w:t xml:space="preserve">demararea lucrărilor - fie demararea lucrărilor de </w:t>
      </w:r>
      <w:r w:rsidR="00540480">
        <w:rPr>
          <w:lang w:val="ro-RO"/>
        </w:rPr>
        <w:t>modernizare</w:t>
      </w:r>
      <w:r w:rsidR="007D07FC" w:rsidRPr="00540480">
        <w:rPr>
          <w:lang w:val="ro-RO"/>
        </w:rPr>
        <w:t>, fie primul angajament cu caracter juridic obligatoriu de comandă pentru echipamente sau oricare alt angajament prin care investiția devine ireversibilă, în funcție de care are loc primul. În cazul preluărilor de întreprinderi, „demararea lucrărilor” corespunde datei dobândirii activelor direct legate de unitatea preluată;</w:t>
      </w:r>
    </w:p>
    <w:p w14:paraId="27D36A45" w14:textId="1688B4E6" w:rsidR="007D07FC" w:rsidRDefault="00496FBA" w:rsidP="002356E9">
      <w:pPr>
        <w:ind w:left="567"/>
        <w:rPr>
          <w:lang w:val="ro-RO"/>
        </w:rPr>
      </w:pPr>
      <w:r>
        <w:rPr>
          <w:lang w:val="ro-RO"/>
        </w:rPr>
        <w:t>j</w:t>
      </w:r>
      <w:r w:rsidR="007D07FC" w:rsidRPr="00540480">
        <w:rPr>
          <w:lang w:val="ro-RO"/>
        </w:rPr>
        <w:t xml:space="preserve">) efect stimulativ - înseamnă prezentarea de către </w:t>
      </w:r>
      <w:r w:rsidR="00163399" w:rsidRPr="00540480">
        <w:rPr>
          <w:lang w:val="ro-RO"/>
        </w:rPr>
        <w:t>potențialul</w:t>
      </w:r>
      <w:r w:rsidR="007D07FC" w:rsidRPr="00540480">
        <w:rPr>
          <w:lang w:val="ro-RO"/>
        </w:rPr>
        <w:t xml:space="preserve"> beneficiar furnizorului ajutorului de stat a unei cereri de ajutor scrise (solicitarea) înainte de demararea </w:t>
      </w:r>
      <w:r w:rsidR="00163399" w:rsidRPr="00540480">
        <w:rPr>
          <w:lang w:val="ro-RO"/>
        </w:rPr>
        <w:t>lucrărilor</w:t>
      </w:r>
      <w:r w:rsidR="007D07FC" w:rsidRPr="00540480">
        <w:rPr>
          <w:lang w:val="ro-RO"/>
        </w:rPr>
        <w:t xml:space="preserve"> la proiectul sau la activitatea respectivă;</w:t>
      </w:r>
    </w:p>
    <w:p w14:paraId="5407BF6F" w14:textId="49CCBFE9" w:rsidR="007D07FC" w:rsidRDefault="00C652A3" w:rsidP="00540480">
      <w:pPr>
        <w:ind w:left="567"/>
        <w:rPr>
          <w:lang w:val="ro-RO"/>
        </w:rPr>
      </w:pPr>
      <w:r>
        <w:rPr>
          <w:lang w:val="ro-RO"/>
        </w:rPr>
        <w:t>k</w:t>
      </w:r>
      <w:r w:rsidR="007D07FC" w:rsidRPr="00540480">
        <w:rPr>
          <w:rFonts w:ascii="Verdana" w:hAnsi="Verdana"/>
          <w:color w:val="000000"/>
          <w:sz w:val="23"/>
          <w:szCs w:val="23"/>
          <w:shd w:val="clear" w:color="auto" w:fill="FFFFFF"/>
          <w:lang w:val="ro-RO"/>
        </w:rPr>
        <w:t xml:space="preserve">) </w:t>
      </w:r>
      <w:r w:rsidR="007D07FC" w:rsidRPr="00540480">
        <w:rPr>
          <w:rFonts w:ascii="Verdana" w:hAnsi="Verdana"/>
          <w:color w:val="000000"/>
          <w:sz w:val="23"/>
          <w:szCs w:val="23"/>
          <w:shd w:val="clear" w:color="auto" w:fill="FFFFFF"/>
          <w:lang w:val="ro-RO"/>
        </w:rPr>
        <w:tab/>
      </w:r>
      <w:r w:rsidR="007D07FC" w:rsidRPr="00540480">
        <w:rPr>
          <w:lang w:val="ro-RO"/>
        </w:rPr>
        <w:t>intensitatea ajutorului - valoarea brută a ajutorului exprimată ca procent din costurile eligibile, înainte de deducerea impozitelor sau a altor taxe;</w:t>
      </w:r>
    </w:p>
    <w:p w14:paraId="414DE240" w14:textId="2FFFFE94" w:rsidR="00162FC4" w:rsidRDefault="00C652A3" w:rsidP="00540480">
      <w:pPr>
        <w:ind w:left="567"/>
        <w:rPr>
          <w:lang w:val="ro-RO"/>
        </w:rPr>
      </w:pPr>
      <w:r>
        <w:rPr>
          <w:lang w:val="ro-RO"/>
        </w:rPr>
        <w:t>l</w:t>
      </w:r>
      <w:r w:rsidR="00162FC4">
        <w:rPr>
          <w:lang w:val="ro-RO"/>
        </w:rPr>
        <w:t>)</w:t>
      </w:r>
      <w:r w:rsidR="00162FC4">
        <w:rPr>
          <w:lang w:val="ro-RO"/>
        </w:rPr>
        <w:tab/>
      </w:r>
      <w:r w:rsidR="00162FC4" w:rsidRPr="00162FC4">
        <w:rPr>
          <w:lang w:val="ro-RO"/>
        </w:rPr>
        <w:t xml:space="preserve">studiu de fezabilitate - </w:t>
      </w:r>
      <w:r w:rsidR="00163399" w:rsidRPr="00162FC4">
        <w:rPr>
          <w:lang w:val="ro-RO"/>
        </w:rPr>
        <w:t>documentația</w:t>
      </w:r>
      <w:r w:rsidR="00162FC4" w:rsidRPr="00162FC4">
        <w:rPr>
          <w:lang w:val="ro-RO"/>
        </w:rPr>
        <w:t xml:space="preserve"> </w:t>
      </w:r>
      <w:proofErr w:type="spellStart"/>
      <w:r w:rsidR="00162FC4" w:rsidRPr="00162FC4">
        <w:rPr>
          <w:lang w:val="ro-RO"/>
        </w:rPr>
        <w:t>tehnico</w:t>
      </w:r>
      <w:proofErr w:type="spellEnd"/>
      <w:r w:rsidR="00162FC4" w:rsidRPr="00162FC4">
        <w:rPr>
          <w:lang w:val="ro-RO"/>
        </w:rPr>
        <w:t xml:space="preserve">-economică, realizată în conformitate cu prevederile HG 907/2016, prin care proiectantul, fără a se limita la datele </w:t>
      </w:r>
      <w:r w:rsidR="00163399" w:rsidRPr="00162FC4">
        <w:rPr>
          <w:lang w:val="ro-RO"/>
        </w:rPr>
        <w:t>și</w:t>
      </w:r>
      <w:r w:rsidR="00162FC4" w:rsidRPr="00162FC4">
        <w:rPr>
          <w:lang w:val="ro-RO"/>
        </w:rPr>
        <w:t xml:space="preserve"> </w:t>
      </w:r>
      <w:r w:rsidR="00163399" w:rsidRPr="00162FC4">
        <w:rPr>
          <w:lang w:val="ro-RO"/>
        </w:rPr>
        <w:t>informațiile</w:t>
      </w:r>
      <w:r w:rsidR="00162FC4" w:rsidRPr="00162FC4">
        <w:rPr>
          <w:lang w:val="ro-RO"/>
        </w:rPr>
        <w:t xml:space="preserve"> cuprinse în nota conceptuală </w:t>
      </w:r>
      <w:proofErr w:type="spellStart"/>
      <w:r w:rsidR="00162FC4" w:rsidRPr="00162FC4">
        <w:rPr>
          <w:lang w:val="ro-RO"/>
        </w:rPr>
        <w:t>şi</w:t>
      </w:r>
      <w:proofErr w:type="spellEnd"/>
      <w:r w:rsidR="00162FC4" w:rsidRPr="00162FC4">
        <w:rPr>
          <w:lang w:val="ro-RO"/>
        </w:rPr>
        <w:t xml:space="preserve"> în tema de proiectare </w:t>
      </w:r>
      <w:proofErr w:type="spellStart"/>
      <w:r w:rsidR="00162FC4" w:rsidRPr="00162FC4">
        <w:rPr>
          <w:lang w:val="ro-RO"/>
        </w:rPr>
        <w:t>şi</w:t>
      </w:r>
      <w:proofErr w:type="spellEnd"/>
      <w:r w:rsidR="00162FC4" w:rsidRPr="00162FC4">
        <w:rPr>
          <w:lang w:val="ro-RO"/>
        </w:rPr>
        <w:t xml:space="preserve">, după caz, în studiul de prefezabilitate, analizează, fundamentează </w:t>
      </w:r>
      <w:proofErr w:type="spellStart"/>
      <w:r w:rsidR="00162FC4" w:rsidRPr="00162FC4">
        <w:rPr>
          <w:lang w:val="ro-RO"/>
        </w:rPr>
        <w:t>şi</w:t>
      </w:r>
      <w:proofErr w:type="spellEnd"/>
      <w:r w:rsidR="00162FC4" w:rsidRPr="00162FC4">
        <w:rPr>
          <w:lang w:val="ro-RO"/>
        </w:rPr>
        <w:t xml:space="preserve"> propune minimum două scenarii/</w:t>
      </w:r>
      <w:r w:rsidR="00163399" w:rsidRPr="00162FC4">
        <w:rPr>
          <w:lang w:val="ro-RO"/>
        </w:rPr>
        <w:t>opțiuni</w:t>
      </w:r>
      <w:r w:rsidR="00162FC4" w:rsidRPr="00162FC4">
        <w:rPr>
          <w:lang w:val="ro-RO"/>
        </w:rPr>
        <w:t xml:space="preserve"> </w:t>
      </w:r>
      <w:proofErr w:type="spellStart"/>
      <w:r w:rsidR="00162FC4" w:rsidRPr="00162FC4">
        <w:rPr>
          <w:lang w:val="ro-RO"/>
        </w:rPr>
        <w:t>tehnico</w:t>
      </w:r>
      <w:proofErr w:type="spellEnd"/>
      <w:r w:rsidR="00162FC4" w:rsidRPr="00162FC4">
        <w:rPr>
          <w:lang w:val="ro-RO"/>
        </w:rPr>
        <w:t xml:space="preserve">-economice diferite, recomandând, justificat </w:t>
      </w:r>
      <w:proofErr w:type="spellStart"/>
      <w:r w:rsidR="00162FC4" w:rsidRPr="00162FC4">
        <w:rPr>
          <w:lang w:val="ro-RO"/>
        </w:rPr>
        <w:t>şi</w:t>
      </w:r>
      <w:proofErr w:type="spellEnd"/>
      <w:r w:rsidR="00162FC4" w:rsidRPr="00162FC4">
        <w:rPr>
          <w:lang w:val="ro-RO"/>
        </w:rPr>
        <w:t xml:space="preserve"> documentat, scenariul/</w:t>
      </w:r>
      <w:r w:rsidR="00163399" w:rsidRPr="00162FC4">
        <w:rPr>
          <w:lang w:val="ro-RO"/>
        </w:rPr>
        <w:t>opțiunea</w:t>
      </w:r>
      <w:r w:rsidR="00162FC4" w:rsidRPr="00162FC4">
        <w:rPr>
          <w:lang w:val="ro-RO"/>
        </w:rPr>
        <w:t xml:space="preserve"> </w:t>
      </w:r>
      <w:proofErr w:type="spellStart"/>
      <w:r w:rsidR="00162FC4" w:rsidRPr="00162FC4">
        <w:rPr>
          <w:lang w:val="ro-RO"/>
        </w:rPr>
        <w:t>tehnico</w:t>
      </w:r>
      <w:proofErr w:type="spellEnd"/>
      <w:r w:rsidR="00162FC4" w:rsidRPr="00162FC4">
        <w:rPr>
          <w:lang w:val="ro-RO"/>
        </w:rPr>
        <w:t xml:space="preserve">-economic(ă) optim(ă) pentru realizarea obiectivului de </w:t>
      </w:r>
      <w:r w:rsidR="00163399" w:rsidRPr="00162FC4">
        <w:rPr>
          <w:lang w:val="ro-RO"/>
        </w:rPr>
        <w:t>investiții</w:t>
      </w:r>
      <w:r w:rsidR="00162FC4" w:rsidRPr="00162FC4">
        <w:rPr>
          <w:lang w:val="ro-RO"/>
        </w:rPr>
        <w:t>;</w:t>
      </w:r>
    </w:p>
    <w:p w14:paraId="29742CEB" w14:textId="5AF03F08" w:rsidR="00162FC4" w:rsidRPr="00162FC4" w:rsidRDefault="00C652A3" w:rsidP="00162FC4">
      <w:pPr>
        <w:ind w:left="567"/>
        <w:rPr>
          <w:lang w:val="ro-RO"/>
        </w:rPr>
      </w:pPr>
      <w:r>
        <w:rPr>
          <w:lang w:val="ro-RO"/>
        </w:rPr>
        <w:t>m</w:t>
      </w:r>
      <w:r w:rsidR="00162FC4">
        <w:rPr>
          <w:lang w:val="ro-RO"/>
        </w:rPr>
        <w:t>)</w:t>
      </w:r>
      <w:r w:rsidR="00162FC4">
        <w:rPr>
          <w:lang w:val="ro-RO"/>
        </w:rPr>
        <w:tab/>
      </w:r>
      <w:r w:rsidR="00162FC4" w:rsidRPr="00162FC4">
        <w:rPr>
          <w:lang w:val="ro-RO"/>
        </w:rPr>
        <w:t xml:space="preserve">„întreprindere în dificultate” înseamnă o întreprindere care se află în cel </w:t>
      </w:r>
      <w:proofErr w:type="spellStart"/>
      <w:r w:rsidR="00162FC4" w:rsidRPr="00162FC4">
        <w:rPr>
          <w:lang w:val="ro-RO"/>
        </w:rPr>
        <w:t>puţin</w:t>
      </w:r>
      <w:proofErr w:type="spellEnd"/>
      <w:r w:rsidR="00162FC4" w:rsidRPr="00162FC4">
        <w:rPr>
          <w:lang w:val="ro-RO"/>
        </w:rPr>
        <w:t xml:space="preserve"> una din </w:t>
      </w:r>
      <w:proofErr w:type="spellStart"/>
      <w:r w:rsidR="00162FC4" w:rsidRPr="00162FC4">
        <w:rPr>
          <w:lang w:val="ro-RO"/>
        </w:rPr>
        <w:t>situaţiile</w:t>
      </w:r>
      <w:proofErr w:type="spellEnd"/>
      <w:r w:rsidR="00162FC4" w:rsidRPr="00162FC4">
        <w:rPr>
          <w:lang w:val="ro-RO"/>
        </w:rPr>
        <w:t xml:space="preserve"> următoare: </w:t>
      </w:r>
    </w:p>
    <w:p w14:paraId="68EBEEDD" w14:textId="4D10137D" w:rsidR="00162FC4" w:rsidRPr="00162FC4" w:rsidRDefault="00162FC4" w:rsidP="00162FC4">
      <w:pPr>
        <w:ind w:left="567"/>
        <w:rPr>
          <w:lang w:val="ro-RO"/>
        </w:rPr>
      </w:pPr>
      <w:r>
        <w:rPr>
          <w:lang w:val="ro-RO"/>
        </w:rPr>
        <w:t xml:space="preserve">- </w:t>
      </w:r>
      <w:r w:rsidRPr="00162FC4">
        <w:rPr>
          <w:lang w:val="ro-RO"/>
        </w:rPr>
        <w:t xml:space="preserve">În cazul unei </w:t>
      </w:r>
      <w:proofErr w:type="spellStart"/>
      <w:r w:rsidRPr="00162FC4">
        <w:rPr>
          <w:lang w:val="ro-RO"/>
        </w:rPr>
        <w:t>societăţi</w:t>
      </w:r>
      <w:proofErr w:type="spellEnd"/>
      <w:r w:rsidRPr="00162FC4">
        <w:rPr>
          <w:lang w:val="ro-RO"/>
        </w:rPr>
        <w:t xml:space="preserve"> comerciale cu răspundere limitată, alta decât un IMM care există de mai </w:t>
      </w:r>
      <w:proofErr w:type="spellStart"/>
      <w:r w:rsidRPr="00162FC4">
        <w:rPr>
          <w:lang w:val="ro-RO"/>
        </w:rPr>
        <w:t>puţin</w:t>
      </w:r>
      <w:proofErr w:type="spellEnd"/>
      <w:r w:rsidRPr="00162FC4">
        <w:rPr>
          <w:lang w:val="ro-RO"/>
        </w:rPr>
        <w:t xml:space="preserve"> de 3 ani, atunci când mai mult de jumătate din capitalul său social subscris a dispărut din cauza pierderilor acumulate. Această </w:t>
      </w:r>
      <w:proofErr w:type="spellStart"/>
      <w:r w:rsidRPr="00162FC4">
        <w:rPr>
          <w:lang w:val="ro-RO"/>
        </w:rPr>
        <w:t>situaţie</w:t>
      </w:r>
      <w:proofErr w:type="spellEnd"/>
      <w:r w:rsidRPr="00162FC4">
        <w:rPr>
          <w:lang w:val="ro-RO"/>
        </w:rPr>
        <w:t xml:space="preserve"> survine atunci când deducerea pierderilor acumulate din rezerve (și din toate celelalte elemente considerate în general ca făcând parte din fondurile proprii ale </w:t>
      </w:r>
      <w:proofErr w:type="spellStart"/>
      <w:r w:rsidRPr="00162FC4">
        <w:rPr>
          <w:lang w:val="ro-RO"/>
        </w:rPr>
        <w:t>societăţii</w:t>
      </w:r>
      <w:proofErr w:type="spellEnd"/>
      <w:r w:rsidRPr="00162FC4">
        <w:rPr>
          <w:lang w:val="ro-RO"/>
        </w:rPr>
        <w:t xml:space="preserve">) conduce la un rezultat negativ care depășește jumătate din capitalul social subscris. În sensul acestei </w:t>
      </w:r>
      <w:proofErr w:type="spellStart"/>
      <w:r w:rsidRPr="00162FC4">
        <w:rPr>
          <w:lang w:val="ro-RO"/>
        </w:rPr>
        <w:t>dispoziţii</w:t>
      </w:r>
      <w:proofErr w:type="spellEnd"/>
      <w:r w:rsidRPr="00162FC4">
        <w:rPr>
          <w:lang w:val="ro-RO"/>
        </w:rPr>
        <w:t xml:space="preserve">, „societate cu răspundere limitată” se referă în special la tipurile de </w:t>
      </w:r>
      <w:proofErr w:type="spellStart"/>
      <w:r w:rsidRPr="00162FC4">
        <w:rPr>
          <w:lang w:val="ro-RO"/>
        </w:rPr>
        <w:t>societăţi</w:t>
      </w:r>
      <w:proofErr w:type="spellEnd"/>
      <w:r w:rsidRPr="00162FC4">
        <w:rPr>
          <w:lang w:val="ro-RO"/>
        </w:rPr>
        <w:t xml:space="preserve"> comerciale </w:t>
      </w:r>
      <w:proofErr w:type="spellStart"/>
      <w:r w:rsidRPr="00162FC4">
        <w:rPr>
          <w:lang w:val="ro-RO"/>
        </w:rPr>
        <w:t>menţionate</w:t>
      </w:r>
      <w:proofErr w:type="spellEnd"/>
      <w:r w:rsidRPr="00162FC4">
        <w:rPr>
          <w:lang w:val="ro-RO"/>
        </w:rPr>
        <w:t xml:space="preserve"> în anexa I la Directiva 2013/34/UE a Parlamentului European și a Consiliului ( 1 ), iar „capital social” include, dacă este cazul, orice capital suplimentar</w:t>
      </w:r>
      <w:r w:rsidR="00C652A3">
        <w:rPr>
          <w:lang w:val="ro-RO"/>
        </w:rPr>
        <w:t>.</w:t>
      </w:r>
    </w:p>
    <w:p w14:paraId="6FAFA362" w14:textId="77777777" w:rsidR="00162FC4" w:rsidRDefault="00162FC4" w:rsidP="00162FC4">
      <w:pPr>
        <w:ind w:left="567"/>
        <w:rPr>
          <w:lang w:val="ro-RO"/>
        </w:rPr>
      </w:pPr>
      <w:r>
        <w:rPr>
          <w:lang w:val="ro-RO"/>
        </w:rPr>
        <w:t xml:space="preserve">- </w:t>
      </w:r>
      <w:r w:rsidRPr="00162FC4">
        <w:rPr>
          <w:lang w:val="ro-RO"/>
        </w:rPr>
        <w:t xml:space="preserve">În cazul unei </w:t>
      </w:r>
      <w:proofErr w:type="spellStart"/>
      <w:r w:rsidRPr="00162FC4">
        <w:rPr>
          <w:lang w:val="ro-RO"/>
        </w:rPr>
        <w:t>societăţi</w:t>
      </w:r>
      <w:proofErr w:type="spellEnd"/>
      <w:r w:rsidRPr="00162FC4">
        <w:rPr>
          <w:lang w:val="ro-RO"/>
        </w:rPr>
        <w:t xml:space="preserve"> comerciale în care cel </w:t>
      </w:r>
      <w:proofErr w:type="spellStart"/>
      <w:r w:rsidRPr="00162FC4">
        <w:rPr>
          <w:lang w:val="ro-RO"/>
        </w:rPr>
        <w:t>puţin</w:t>
      </w:r>
      <w:proofErr w:type="spellEnd"/>
      <w:r w:rsidRPr="00162FC4">
        <w:rPr>
          <w:lang w:val="ro-RO"/>
        </w:rPr>
        <w:t xml:space="preserve"> unii dintre </w:t>
      </w:r>
      <w:proofErr w:type="spellStart"/>
      <w:r w:rsidRPr="00162FC4">
        <w:rPr>
          <w:lang w:val="ro-RO"/>
        </w:rPr>
        <w:t>asociaţi</w:t>
      </w:r>
      <w:proofErr w:type="spellEnd"/>
      <w:r w:rsidRPr="00162FC4">
        <w:rPr>
          <w:lang w:val="ro-RO"/>
        </w:rPr>
        <w:t xml:space="preserve"> au răspundere nelimitată pentru </w:t>
      </w:r>
      <w:proofErr w:type="spellStart"/>
      <w:r w:rsidRPr="00162FC4">
        <w:rPr>
          <w:lang w:val="ro-RO"/>
        </w:rPr>
        <w:t>creanţele</w:t>
      </w:r>
      <w:proofErr w:type="spellEnd"/>
      <w:r w:rsidRPr="00162FC4">
        <w:rPr>
          <w:lang w:val="ro-RO"/>
        </w:rPr>
        <w:t xml:space="preserve"> </w:t>
      </w:r>
      <w:proofErr w:type="spellStart"/>
      <w:r w:rsidRPr="00162FC4">
        <w:rPr>
          <w:lang w:val="ro-RO"/>
        </w:rPr>
        <w:t>societăţii</w:t>
      </w:r>
      <w:proofErr w:type="spellEnd"/>
      <w:r w:rsidRPr="00162FC4">
        <w:rPr>
          <w:lang w:val="ro-RO"/>
        </w:rPr>
        <w:t xml:space="preserve">, alta decât un IMM care există de mai </w:t>
      </w:r>
      <w:proofErr w:type="spellStart"/>
      <w:r w:rsidRPr="00162FC4">
        <w:rPr>
          <w:lang w:val="ro-RO"/>
        </w:rPr>
        <w:t>puţin</w:t>
      </w:r>
      <w:proofErr w:type="spellEnd"/>
      <w:r w:rsidRPr="00162FC4">
        <w:rPr>
          <w:lang w:val="ro-RO"/>
        </w:rPr>
        <w:t xml:space="preserve"> de 3 ani, atunci când mai mult de jumătate din capitalul propriu așa cum reiese din contabilitatea </w:t>
      </w:r>
      <w:proofErr w:type="spellStart"/>
      <w:r w:rsidRPr="00162FC4">
        <w:rPr>
          <w:lang w:val="ro-RO"/>
        </w:rPr>
        <w:t>societăţii</w:t>
      </w:r>
      <w:proofErr w:type="spellEnd"/>
      <w:r w:rsidRPr="00162FC4">
        <w:rPr>
          <w:lang w:val="ro-RO"/>
        </w:rPr>
        <w:t xml:space="preserve"> a dispărut din cauza pierderilor acumulate. În sensul prezentei </w:t>
      </w:r>
      <w:proofErr w:type="spellStart"/>
      <w:r w:rsidRPr="00162FC4">
        <w:rPr>
          <w:lang w:val="ro-RO"/>
        </w:rPr>
        <w:t>dispoziţii</w:t>
      </w:r>
      <w:proofErr w:type="spellEnd"/>
      <w:r w:rsidRPr="00162FC4">
        <w:rPr>
          <w:lang w:val="ro-RO"/>
        </w:rPr>
        <w:t xml:space="preserve">, „o societate comercială în care cel </w:t>
      </w:r>
      <w:proofErr w:type="spellStart"/>
      <w:r w:rsidRPr="00162FC4">
        <w:rPr>
          <w:lang w:val="ro-RO"/>
        </w:rPr>
        <w:t>puţin</w:t>
      </w:r>
      <w:proofErr w:type="spellEnd"/>
      <w:r w:rsidRPr="00162FC4">
        <w:rPr>
          <w:lang w:val="ro-RO"/>
        </w:rPr>
        <w:t xml:space="preserve"> unii dintre </w:t>
      </w:r>
      <w:proofErr w:type="spellStart"/>
      <w:r w:rsidRPr="00162FC4">
        <w:rPr>
          <w:lang w:val="ro-RO"/>
        </w:rPr>
        <w:t>asociaţi</w:t>
      </w:r>
      <w:proofErr w:type="spellEnd"/>
      <w:r w:rsidRPr="00162FC4">
        <w:rPr>
          <w:lang w:val="ro-RO"/>
        </w:rPr>
        <w:t xml:space="preserve"> au răspundere nelimitată pentru </w:t>
      </w:r>
      <w:proofErr w:type="spellStart"/>
      <w:r w:rsidRPr="00162FC4">
        <w:rPr>
          <w:lang w:val="ro-RO"/>
        </w:rPr>
        <w:t>creanţele</w:t>
      </w:r>
      <w:proofErr w:type="spellEnd"/>
      <w:r w:rsidRPr="00162FC4">
        <w:rPr>
          <w:lang w:val="ro-RO"/>
        </w:rPr>
        <w:t xml:space="preserve"> </w:t>
      </w:r>
      <w:proofErr w:type="spellStart"/>
      <w:r w:rsidRPr="00162FC4">
        <w:rPr>
          <w:lang w:val="ro-RO"/>
        </w:rPr>
        <w:t>societăţii</w:t>
      </w:r>
      <w:proofErr w:type="spellEnd"/>
      <w:r w:rsidRPr="00162FC4">
        <w:rPr>
          <w:lang w:val="ro-RO"/>
        </w:rPr>
        <w:t xml:space="preserve">” se referă în special la acele tipuri de </w:t>
      </w:r>
      <w:proofErr w:type="spellStart"/>
      <w:r w:rsidRPr="00162FC4">
        <w:rPr>
          <w:lang w:val="ro-RO"/>
        </w:rPr>
        <w:t>societăţi</w:t>
      </w:r>
      <w:proofErr w:type="spellEnd"/>
      <w:r w:rsidRPr="00162FC4">
        <w:rPr>
          <w:lang w:val="ro-RO"/>
        </w:rPr>
        <w:t xml:space="preserve"> </w:t>
      </w:r>
      <w:proofErr w:type="spellStart"/>
      <w:r w:rsidRPr="00162FC4">
        <w:rPr>
          <w:lang w:val="ro-RO"/>
        </w:rPr>
        <w:t>menţionate</w:t>
      </w:r>
      <w:proofErr w:type="spellEnd"/>
      <w:r w:rsidRPr="00162FC4">
        <w:rPr>
          <w:lang w:val="ro-RO"/>
        </w:rPr>
        <w:t xml:space="preserve"> în anexa II la Directiva 2013/34/UE.</w:t>
      </w:r>
    </w:p>
    <w:p w14:paraId="7627147A" w14:textId="3CA967B6" w:rsidR="00162FC4" w:rsidRPr="00162FC4" w:rsidRDefault="00162FC4" w:rsidP="00162FC4">
      <w:pPr>
        <w:ind w:left="567"/>
        <w:rPr>
          <w:lang w:val="ro-RO"/>
        </w:rPr>
      </w:pPr>
      <w:r>
        <w:rPr>
          <w:lang w:val="ro-RO"/>
        </w:rPr>
        <w:t xml:space="preserve">- </w:t>
      </w:r>
      <w:r w:rsidRPr="00162FC4">
        <w:rPr>
          <w:lang w:val="ro-RO"/>
        </w:rPr>
        <w:t xml:space="preserve">Atunci când întreprinderea face obiectul unei proceduri colective de </w:t>
      </w:r>
      <w:r w:rsidR="00163399" w:rsidRPr="00162FC4">
        <w:rPr>
          <w:lang w:val="ro-RO"/>
        </w:rPr>
        <w:t>insolvență</w:t>
      </w:r>
      <w:r w:rsidRPr="00162FC4">
        <w:rPr>
          <w:lang w:val="ro-RO"/>
        </w:rPr>
        <w:t xml:space="preserve"> sau îndeplinește criteriile prevăzute în dreptul intern pentru ca o procedură colectivă de </w:t>
      </w:r>
      <w:r w:rsidR="00163399" w:rsidRPr="00162FC4">
        <w:rPr>
          <w:lang w:val="ro-RO"/>
        </w:rPr>
        <w:t>insolvență</w:t>
      </w:r>
      <w:r w:rsidRPr="00162FC4">
        <w:rPr>
          <w:lang w:val="ro-RO"/>
        </w:rPr>
        <w:t xml:space="preserve"> să fie deschisă la cererea creditorilor săi. </w:t>
      </w:r>
    </w:p>
    <w:p w14:paraId="544989F9" w14:textId="3BF68CB6" w:rsidR="00162FC4" w:rsidRPr="00162FC4" w:rsidRDefault="00162FC4" w:rsidP="00162FC4">
      <w:pPr>
        <w:ind w:left="567"/>
        <w:rPr>
          <w:lang w:val="ro-RO"/>
        </w:rPr>
      </w:pPr>
      <w:r>
        <w:rPr>
          <w:lang w:val="ro-RO"/>
        </w:rPr>
        <w:t xml:space="preserve">- </w:t>
      </w:r>
      <w:r w:rsidRPr="00162FC4">
        <w:rPr>
          <w:lang w:val="ro-RO"/>
        </w:rPr>
        <w:t xml:space="preserve">Atunci când întreprinderea a primit ajutor pentru salvare și nu a rambursat încă împrumutul sau nu a încetat </w:t>
      </w:r>
      <w:r w:rsidR="00163399" w:rsidRPr="00162FC4">
        <w:rPr>
          <w:lang w:val="ro-RO"/>
        </w:rPr>
        <w:t>garanția</w:t>
      </w:r>
      <w:r w:rsidRPr="00162FC4">
        <w:rPr>
          <w:lang w:val="ro-RO"/>
        </w:rPr>
        <w:t xml:space="preserve"> sau a primit ajutoare pentru restructurare și face încă obiectul unui plan de restructurare. </w:t>
      </w:r>
    </w:p>
    <w:p w14:paraId="243F06D3" w14:textId="5CA3AC75" w:rsidR="00162FC4" w:rsidRPr="00162FC4" w:rsidRDefault="00162FC4" w:rsidP="00162FC4">
      <w:pPr>
        <w:ind w:left="567"/>
        <w:rPr>
          <w:lang w:val="ro-RO"/>
        </w:rPr>
      </w:pPr>
      <w:r>
        <w:rPr>
          <w:lang w:val="ro-RO"/>
        </w:rPr>
        <w:t xml:space="preserve">- </w:t>
      </w:r>
      <w:r w:rsidRPr="00162FC4">
        <w:rPr>
          <w:lang w:val="ro-RO"/>
        </w:rPr>
        <w:t xml:space="preserve">În cazul unei întreprinderi care nu este un IMM, atunci când, în ultimii doi ani: </w:t>
      </w:r>
    </w:p>
    <w:p w14:paraId="20F59FAD" w14:textId="77777777" w:rsidR="00162FC4" w:rsidRPr="00162FC4" w:rsidRDefault="00162FC4" w:rsidP="00162FC4">
      <w:pPr>
        <w:ind w:left="567"/>
        <w:rPr>
          <w:lang w:val="ro-RO"/>
        </w:rPr>
      </w:pPr>
      <w:r w:rsidRPr="00162FC4">
        <w:rPr>
          <w:lang w:val="ro-RO"/>
        </w:rPr>
        <w:t xml:space="preserve">1. raportul datorii/capitaluri proprii al întreprinderii este mai mic de 7,5; și </w:t>
      </w:r>
    </w:p>
    <w:p w14:paraId="31F7662B" w14:textId="09FB6D38" w:rsidR="00162FC4" w:rsidRPr="00540480" w:rsidRDefault="00162FC4" w:rsidP="00162FC4">
      <w:pPr>
        <w:ind w:left="567"/>
        <w:rPr>
          <w:lang w:val="ro-RO"/>
        </w:rPr>
      </w:pPr>
      <w:r w:rsidRPr="00162FC4">
        <w:rPr>
          <w:lang w:val="ro-RO"/>
        </w:rPr>
        <w:t>2. capacitatea de acoperire a dobânzilor calculată pe baza EBITDA se situează sub valoarea 1,0.</w:t>
      </w:r>
    </w:p>
    <w:p w14:paraId="4847F4BE" w14:textId="597A9586" w:rsidR="007D07FC" w:rsidRDefault="00C652A3" w:rsidP="005D2026">
      <w:pPr>
        <w:ind w:left="567"/>
        <w:rPr>
          <w:lang w:val="ro-RO"/>
        </w:rPr>
      </w:pPr>
      <w:r>
        <w:rPr>
          <w:lang w:val="ro-RO"/>
        </w:rPr>
        <w:lastRenderedPageBreak/>
        <w:t>n</w:t>
      </w:r>
      <w:r w:rsidR="00D50BC5">
        <w:rPr>
          <w:lang w:val="ro-RO"/>
        </w:rPr>
        <w:t xml:space="preserve">) </w:t>
      </w:r>
      <w:r w:rsidR="005D2026" w:rsidRPr="005D2026">
        <w:rPr>
          <w:lang w:val="ro-RO"/>
        </w:rPr>
        <w:t xml:space="preserve">„standard al Uniunii” înseamnă: </w:t>
      </w:r>
      <w:proofErr w:type="spellStart"/>
      <w:r w:rsidR="005D2026" w:rsidRPr="005D2026">
        <w:rPr>
          <w:lang w:val="ro-RO"/>
        </w:rPr>
        <w:t>obligaţia</w:t>
      </w:r>
      <w:proofErr w:type="spellEnd"/>
      <w:r w:rsidR="005D2026" w:rsidRPr="005D2026">
        <w:rPr>
          <w:lang w:val="ro-RO"/>
        </w:rPr>
        <w:t xml:space="preserve"> de a utiliza cele mai bune tehnici disponibile (BAT), astfel cum sunt definite în Directiva 2010/75/UE a Parlamentului European și a Consiliului, și de a garanta că nivelurile de emisie nu sunt mai ridicate decât nivelurile care s-ar fi înregistrat prin aplicarea BAT</w:t>
      </w:r>
      <w:r>
        <w:rPr>
          <w:lang w:val="ro-RO"/>
        </w:rPr>
        <w:t>;</w:t>
      </w:r>
    </w:p>
    <w:p w14:paraId="5DA1F3CC" w14:textId="4A3A3E7B" w:rsidR="008339B2" w:rsidRDefault="00C652A3" w:rsidP="008339B2">
      <w:pPr>
        <w:ind w:left="567"/>
        <w:rPr>
          <w:lang w:val="ro-RO"/>
        </w:rPr>
      </w:pPr>
      <w:r>
        <w:rPr>
          <w:lang w:val="ro-RO"/>
        </w:rPr>
        <w:t>o</w:t>
      </w:r>
      <w:r w:rsidR="008339B2">
        <w:rPr>
          <w:lang w:val="ro-RO"/>
        </w:rPr>
        <w:t xml:space="preserve">) </w:t>
      </w:r>
      <w:r w:rsidR="008339B2" w:rsidRPr="008339B2">
        <w:rPr>
          <w:lang w:val="ro-RO"/>
        </w:rPr>
        <w:t xml:space="preserve">„întreprindere nou-intrată” înseamnă o întreprindere feroviară, astfel cum este definită la articolul 3 punctul 1 din Directiva 2012/34/UE a Parlamentului European și a Consiliului ( 2 ), care îndeplinește următoarele </w:t>
      </w:r>
      <w:proofErr w:type="spellStart"/>
      <w:r w:rsidR="008339B2" w:rsidRPr="008339B2">
        <w:rPr>
          <w:lang w:val="ro-RO"/>
        </w:rPr>
        <w:t>condiţii</w:t>
      </w:r>
      <w:proofErr w:type="spellEnd"/>
      <w:r w:rsidR="008339B2" w:rsidRPr="008339B2">
        <w:rPr>
          <w:lang w:val="ro-RO"/>
        </w:rPr>
        <w:t xml:space="preserve">: </w:t>
      </w:r>
      <w:r w:rsidR="008339B2">
        <w:rPr>
          <w:lang w:val="ro-RO"/>
        </w:rPr>
        <w:t xml:space="preserve">- </w:t>
      </w:r>
      <w:r w:rsidR="008339B2" w:rsidRPr="008339B2">
        <w:rPr>
          <w:lang w:val="ro-RO"/>
        </w:rPr>
        <w:t xml:space="preserve">a primit o </w:t>
      </w:r>
      <w:proofErr w:type="spellStart"/>
      <w:r w:rsidR="008339B2" w:rsidRPr="008339B2">
        <w:rPr>
          <w:lang w:val="ro-RO"/>
        </w:rPr>
        <w:t>licenţă</w:t>
      </w:r>
      <w:proofErr w:type="spellEnd"/>
      <w:r w:rsidR="008339B2" w:rsidRPr="008339B2">
        <w:rPr>
          <w:lang w:val="ro-RO"/>
        </w:rPr>
        <w:t xml:space="preserve"> în temeiul articolului 17 alineatul (3) din Directiva 2012/34/UE pentru segmentul de </w:t>
      </w:r>
      <w:proofErr w:type="spellStart"/>
      <w:r w:rsidR="008339B2" w:rsidRPr="008339B2">
        <w:rPr>
          <w:lang w:val="ro-RO"/>
        </w:rPr>
        <w:t>piaţă</w:t>
      </w:r>
      <w:proofErr w:type="spellEnd"/>
      <w:r w:rsidR="008339B2" w:rsidRPr="008339B2">
        <w:rPr>
          <w:lang w:val="ro-RO"/>
        </w:rPr>
        <w:t xml:space="preserve"> relevant cu mai </w:t>
      </w:r>
      <w:proofErr w:type="spellStart"/>
      <w:r w:rsidR="008339B2" w:rsidRPr="008339B2">
        <w:rPr>
          <w:lang w:val="ro-RO"/>
        </w:rPr>
        <w:t>puţin</w:t>
      </w:r>
      <w:proofErr w:type="spellEnd"/>
      <w:r w:rsidR="008339B2" w:rsidRPr="008339B2">
        <w:rPr>
          <w:lang w:val="ro-RO"/>
        </w:rPr>
        <w:t xml:space="preserve"> de douăzeci de ani înainte de acordarea ajutorului și </w:t>
      </w:r>
      <w:r w:rsidR="008339B2">
        <w:rPr>
          <w:lang w:val="ro-RO"/>
        </w:rPr>
        <w:t xml:space="preserve">- </w:t>
      </w:r>
      <w:r w:rsidR="008339B2" w:rsidRPr="008339B2">
        <w:rPr>
          <w:lang w:val="ro-RO"/>
        </w:rPr>
        <w:t xml:space="preserve">nu este legată, în sensul articolului 3 alineatul (3) din anexa I la prezentul regulament, de o întreprindere feroviară care a </w:t>
      </w:r>
      <w:proofErr w:type="spellStart"/>
      <w:r w:rsidR="008339B2" w:rsidRPr="008339B2">
        <w:rPr>
          <w:lang w:val="ro-RO"/>
        </w:rPr>
        <w:t>obţinut</w:t>
      </w:r>
      <w:proofErr w:type="spellEnd"/>
      <w:r w:rsidR="008339B2" w:rsidRPr="008339B2">
        <w:rPr>
          <w:lang w:val="ro-RO"/>
        </w:rPr>
        <w:t xml:space="preserve"> o </w:t>
      </w:r>
      <w:proofErr w:type="spellStart"/>
      <w:r w:rsidR="008339B2" w:rsidRPr="008339B2">
        <w:rPr>
          <w:lang w:val="ro-RO"/>
        </w:rPr>
        <w:t>licenţă</w:t>
      </w:r>
      <w:proofErr w:type="spellEnd"/>
      <w:r w:rsidR="008339B2" w:rsidRPr="008339B2">
        <w:rPr>
          <w:lang w:val="ro-RO"/>
        </w:rPr>
        <w:t>, în sensul articolului 3 punctul 14 din 1 ianuarie 2010</w:t>
      </w:r>
      <w:r w:rsidR="008339B2">
        <w:rPr>
          <w:lang w:val="ro-RO"/>
        </w:rPr>
        <w:t>.</w:t>
      </w:r>
    </w:p>
    <w:p w14:paraId="58E15AF1" w14:textId="586ABD18" w:rsidR="00C652A3" w:rsidRPr="00F26D86" w:rsidRDefault="00C652A3" w:rsidP="00C652A3">
      <w:pPr>
        <w:ind w:left="567"/>
        <w:rPr>
          <w:lang w:val="ro-RO"/>
        </w:rPr>
      </w:pPr>
      <w:r>
        <w:rPr>
          <w:lang w:val="ro-RO"/>
        </w:rPr>
        <w:t xml:space="preserve">(2) </w:t>
      </w:r>
      <w:r>
        <w:rPr>
          <w:lang w:val="ro-RO"/>
        </w:rPr>
        <w:tab/>
        <w:t>T</w:t>
      </w:r>
      <w:r w:rsidRPr="00AD6790">
        <w:rPr>
          <w:lang w:val="ro-RO"/>
        </w:rPr>
        <w:t>ermenii microîntreprinderi, întreprinderi mici și mijlocii și întreprindere mare au semnificația dată de Regulament.</w:t>
      </w:r>
    </w:p>
    <w:p w14:paraId="1E9F1B27" w14:textId="77777777" w:rsidR="00C652A3" w:rsidRPr="003B4E0A" w:rsidRDefault="00C652A3" w:rsidP="008339B2">
      <w:pPr>
        <w:ind w:left="567"/>
        <w:rPr>
          <w:lang w:val="ro-RO"/>
        </w:rPr>
      </w:pPr>
    </w:p>
    <w:p w14:paraId="0B84FAB0" w14:textId="6332BB08" w:rsidR="007D07FC" w:rsidRPr="007C08C2" w:rsidRDefault="00960AD8" w:rsidP="002356E9">
      <w:pPr>
        <w:ind w:left="567"/>
        <w:rPr>
          <w:lang w:val="ro-RO"/>
        </w:rPr>
      </w:pPr>
      <w:r>
        <w:rPr>
          <w:lang w:val="ro-RO"/>
        </w:rPr>
        <w:t xml:space="preserve">Capitolul </w:t>
      </w:r>
      <w:proofErr w:type="spellStart"/>
      <w:r w:rsidR="007D07FC" w:rsidRPr="007C08C2">
        <w:rPr>
          <w:lang w:val="ro-RO"/>
        </w:rPr>
        <w:t>Vl</w:t>
      </w:r>
      <w:proofErr w:type="spellEnd"/>
      <w:r w:rsidR="007D07FC" w:rsidRPr="007C08C2">
        <w:rPr>
          <w:lang w:val="ro-RO"/>
        </w:rPr>
        <w:t>. Beneficiarii</w:t>
      </w:r>
    </w:p>
    <w:p w14:paraId="0365A1D2" w14:textId="07CC4172" w:rsidR="007D07FC" w:rsidRDefault="007D07FC" w:rsidP="002356E9">
      <w:pPr>
        <w:ind w:left="567"/>
        <w:rPr>
          <w:lang w:val="ro-RO"/>
        </w:rPr>
      </w:pPr>
      <w:r w:rsidRPr="007C08C2">
        <w:rPr>
          <w:lang w:val="ro-RO"/>
        </w:rPr>
        <w:t xml:space="preserve">Art. </w:t>
      </w:r>
      <w:r>
        <w:rPr>
          <w:lang w:val="ro-RO"/>
        </w:rPr>
        <w:t>7</w:t>
      </w:r>
    </w:p>
    <w:p w14:paraId="365BBB72" w14:textId="252E836A" w:rsidR="007D07FC" w:rsidRPr="00C44E54" w:rsidRDefault="007D07FC" w:rsidP="00AD6790">
      <w:pPr>
        <w:ind w:left="567"/>
        <w:rPr>
          <w:lang w:val="ro-RO"/>
        </w:rPr>
      </w:pPr>
      <w:r>
        <w:rPr>
          <w:lang w:val="ro-RO"/>
        </w:rPr>
        <w:t xml:space="preserve">(1) </w:t>
      </w:r>
      <w:r w:rsidR="00AD6790">
        <w:rPr>
          <w:lang w:val="ro-RO"/>
        </w:rPr>
        <w:tab/>
      </w:r>
      <w:r w:rsidR="00163399" w:rsidRPr="00AD6790">
        <w:rPr>
          <w:lang w:val="ro-RO"/>
        </w:rPr>
        <w:t>Potențialii</w:t>
      </w:r>
      <w:r w:rsidR="00AD6790" w:rsidRPr="00AD6790">
        <w:rPr>
          <w:lang w:val="ro-RO"/>
        </w:rPr>
        <w:t xml:space="preserve"> beneficiari pot fi operatorii </w:t>
      </w:r>
      <w:r w:rsidR="00AD6790">
        <w:rPr>
          <w:lang w:val="ro-RO"/>
        </w:rPr>
        <w:t xml:space="preserve">de transport rutier, feroviar, maritim și </w:t>
      </w:r>
      <w:r w:rsidR="005B5BE7" w:rsidRPr="005B5BE7">
        <w:rPr>
          <w:lang w:val="ro-RO"/>
        </w:rPr>
        <w:t xml:space="preserve">pe căi navigabile interioare </w:t>
      </w:r>
      <w:r w:rsidR="00AD6790" w:rsidRPr="00AD6790">
        <w:rPr>
          <w:lang w:val="ro-RO"/>
        </w:rPr>
        <w:t>deja existenți– microîntreprinderi, întreprinderi mici și mijlocii, dar și întreprinderi mari</w:t>
      </w:r>
      <w:r w:rsidR="008332DC">
        <w:rPr>
          <w:lang w:val="ro-RO"/>
        </w:rPr>
        <w:t xml:space="preserve">, </w:t>
      </w:r>
      <w:r w:rsidR="00AD6790">
        <w:rPr>
          <w:lang w:val="ro-RO"/>
        </w:rPr>
        <w:t xml:space="preserve">care sunt </w:t>
      </w:r>
      <w:r w:rsidR="00AD6790" w:rsidRPr="00AD6790">
        <w:rPr>
          <w:lang w:val="ro-RO"/>
        </w:rPr>
        <w:t xml:space="preserve">legal constituite în conformitate cu legislația națională sau în conformitate cu legislația specifică din statul membru a cărei naționalitate o dețin și înregistrate la ONRC în România până la data primei </w:t>
      </w:r>
      <w:r w:rsidR="00163399" w:rsidRPr="00AD6790">
        <w:rPr>
          <w:lang w:val="ro-RO"/>
        </w:rPr>
        <w:t>plăti</w:t>
      </w:r>
      <w:r w:rsidR="00AD6790" w:rsidRPr="00AD6790">
        <w:rPr>
          <w:lang w:val="ro-RO"/>
        </w:rPr>
        <w:t xml:space="preserve"> din ajutorul de stat acordat în cadrul prezentei scheme, </w:t>
      </w:r>
      <w:r w:rsidR="008332DC">
        <w:rPr>
          <w:lang w:val="ro-RO"/>
        </w:rPr>
        <w:t xml:space="preserve">precum și întreprinderile nou- intrate, </w:t>
      </w:r>
      <w:r w:rsidR="00AD6790" w:rsidRPr="00AD6790">
        <w:rPr>
          <w:lang w:val="ro-RO"/>
        </w:rPr>
        <w:t xml:space="preserve">ale căror proiecte pentru </w:t>
      </w:r>
      <w:r w:rsidR="008332DC">
        <w:rPr>
          <w:lang w:val="ro-RO"/>
        </w:rPr>
        <w:t xml:space="preserve">achiziția și </w:t>
      </w:r>
      <w:r w:rsidR="00AD6790">
        <w:rPr>
          <w:lang w:val="ro-RO"/>
        </w:rPr>
        <w:t xml:space="preserve">modernizarea </w:t>
      </w:r>
      <w:r w:rsidR="00AD6790" w:rsidRPr="00AD6790">
        <w:rPr>
          <w:lang w:val="ro-RO"/>
        </w:rPr>
        <w:t>vehiculelor</w:t>
      </w:r>
      <w:r w:rsidR="00AD6790">
        <w:rPr>
          <w:lang w:val="ro-RO"/>
        </w:rPr>
        <w:t xml:space="preserve"> </w:t>
      </w:r>
      <w:r w:rsidR="00AD6790" w:rsidRPr="00AD6790">
        <w:rPr>
          <w:lang w:val="ro-RO"/>
        </w:rPr>
        <w:t>menționate la art. 2 alin. (2) au fost selectate drept câștigătoare în baza unei proceduri de ofertare concurențială.</w:t>
      </w:r>
      <w:r w:rsidR="00AD6790">
        <w:rPr>
          <w:lang w:val="ro-RO"/>
        </w:rPr>
        <w:t xml:space="preserve"> </w:t>
      </w:r>
      <w:r>
        <w:rPr>
          <w:lang w:val="ro-RO"/>
        </w:rPr>
        <w:t xml:space="preserve"> </w:t>
      </w:r>
    </w:p>
    <w:p w14:paraId="7832E765" w14:textId="77777777" w:rsidR="007D07FC" w:rsidRPr="005606E6" w:rsidRDefault="007D07FC" w:rsidP="002356E9">
      <w:pPr>
        <w:ind w:left="567"/>
        <w:rPr>
          <w:lang w:val="ro-RO"/>
        </w:rPr>
      </w:pPr>
      <w:r w:rsidRPr="005606E6">
        <w:rPr>
          <w:lang w:val="ro-RO"/>
        </w:rPr>
        <w:t>Art. 8</w:t>
      </w:r>
    </w:p>
    <w:p w14:paraId="7122B622" w14:textId="6712B0A0" w:rsidR="00AD6790" w:rsidRPr="005606E6" w:rsidRDefault="007D07FC" w:rsidP="00163399">
      <w:pPr>
        <w:ind w:left="567"/>
        <w:rPr>
          <w:lang w:val="ro-RO"/>
        </w:rPr>
      </w:pPr>
      <w:r w:rsidRPr="005606E6">
        <w:rPr>
          <w:lang w:val="ro-RO"/>
        </w:rPr>
        <w:t xml:space="preserve">(1) </w:t>
      </w:r>
      <w:r w:rsidRPr="005606E6">
        <w:rPr>
          <w:lang w:val="ro-RO"/>
        </w:rPr>
        <w:tab/>
      </w:r>
      <w:r w:rsidR="00AD6790" w:rsidRPr="005606E6">
        <w:rPr>
          <w:lang w:val="ro-RO"/>
        </w:rPr>
        <w:t>Potențialii beneficiari pot depune unul sau mai multe proiecte individuale, în limita sumei 15 milioane euro</w:t>
      </w:r>
      <w:r w:rsidR="005E79B0" w:rsidRPr="005606E6">
        <w:rPr>
          <w:lang w:val="ro-RO"/>
        </w:rPr>
        <w:t xml:space="preserve"> </w:t>
      </w:r>
      <w:r w:rsidR="00AD6790" w:rsidRPr="005606E6">
        <w:rPr>
          <w:lang w:val="ro-RO"/>
        </w:rPr>
        <w:t>pe întreprindere</w:t>
      </w:r>
      <w:r w:rsidR="005E79B0" w:rsidRPr="005606E6">
        <w:rPr>
          <w:lang w:val="ro-RO"/>
        </w:rPr>
        <w:t xml:space="preserve">. </w:t>
      </w:r>
    </w:p>
    <w:p w14:paraId="6F8EFE9D" w14:textId="5C382650" w:rsidR="007D07FC" w:rsidRPr="005606E6" w:rsidRDefault="007D07FC" w:rsidP="002356E9">
      <w:pPr>
        <w:ind w:left="567"/>
        <w:rPr>
          <w:lang w:val="ro-RO"/>
        </w:rPr>
      </w:pPr>
      <w:r w:rsidRPr="005606E6">
        <w:rPr>
          <w:lang w:val="ro-RO"/>
        </w:rPr>
        <w:t>Art.9</w:t>
      </w:r>
    </w:p>
    <w:p w14:paraId="5BCAB2DD" w14:textId="77777777" w:rsidR="007D07FC" w:rsidRPr="005606E6" w:rsidRDefault="007D07FC" w:rsidP="002356E9">
      <w:pPr>
        <w:ind w:left="567"/>
        <w:rPr>
          <w:lang w:val="ro-RO"/>
        </w:rPr>
      </w:pPr>
      <w:r w:rsidRPr="005606E6">
        <w:rPr>
          <w:lang w:val="ro-RO"/>
        </w:rPr>
        <w:t>Solicitarea în cadrul procedurii de ofertare concurențială conține cel puțin următoarele informații:</w:t>
      </w:r>
    </w:p>
    <w:p w14:paraId="0A3C9C6F" w14:textId="1D93318D" w:rsidR="007D07FC" w:rsidRPr="00C44E54" w:rsidRDefault="007D07FC" w:rsidP="002356E9">
      <w:pPr>
        <w:ind w:left="567"/>
        <w:rPr>
          <w:lang w:val="it-IT"/>
        </w:rPr>
      </w:pPr>
      <w:r w:rsidRPr="00C44E54">
        <w:rPr>
          <w:lang w:val="it-IT"/>
        </w:rPr>
        <w:t xml:space="preserve">a) denumirea </w:t>
      </w:r>
      <w:r w:rsidR="00097B21">
        <w:rPr>
          <w:lang w:val="it-IT"/>
        </w:rPr>
        <w:t>întreprinderii și dimensiunea acesteia;</w:t>
      </w:r>
    </w:p>
    <w:p w14:paraId="524A0120" w14:textId="77777777" w:rsidR="007D07FC" w:rsidRPr="00C44E54" w:rsidRDefault="007D07FC" w:rsidP="002356E9">
      <w:pPr>
        <w:ind w:left="567"/>
        <w:rPr>
          <w:lang w:val="it-IT"/>
        </w:rPr>
      </w:pPr>
      <w:r w:rsidRPr="00C44E54">
        <w:rPr>
          <w:lang w:val="it-IT"/>
        </w:rPr>
        <w:t>b) descrierea proiectului, inclusiv data începerii și a finalizării acestuia;</w:t>
      </w:r>
    </w:p>
    <w:p w14:paraId="7C1A084E" w14:textId="77777777" w:rsidR="007D07FC" w:rsidRPr="00C44E54" w:rsidRDefault="007D07FC" w:rsidP="002356E9">
      <w:pPr>
        <w:ind w:left="567"/>
        <w:rPr>
          <w:lang w:val="it-IT"/>
        </w:rPr>
      </w:pPr>
      <w:r w:rsidRPr="00C44E54">
        <w:rPr>
          <w:lang w:val="it-IT"/>
        </w:rPr>
        <w:t>c) obiectivele proiectului și rezultatele așteptate;</w:t>
      </w:r>
    </w:p>
    <w:p w14:paraId="0DBD96D1" w14:textId="77777777" w:rsidR="007D07FC" w:rsidRPr="00C44E54" w:rsidRDefault="007D07FC" w:rsidP="002356E9">
      <w:pPr>
        <w:ind w:left="567"/>
        <w:rPr>
          <w:lang w:val="it-IT"/>
        </w:rPr>
      </w:pPr>
      <w:r w:rsidRPr="00C44E54">
        <w:rPr>
          <w:lang w:val="it-IT"/>
        </w:rPr>
        <w:t>d) localizarea proiectului;</w:t>
      </w:r>
    </w:p>
    <w:p w14:paraId="3D4F9AC8" w14:textId="77777777" w:rsidR="007D07FC" w:rsidRPr="00C44E54" w:rsidRDefault="007D07FC" w:rsidP="002356E9">
      <w:pPr>
        <w:ind w:left="567"/>
        <w:rPr>
          <w:lang w:val="it-IT"/>
        </w:rPr>
      </w:pPr>
      <w:r w:rsidRPr="00C44E54">
        <w:rPr>
          <w:lang w:val="it-IT"/>
        </w:rPr>
        <w:t>e) bugetul proiectului;</w:t>
      </w:r>
    </w:p>
    <w:p w14:paraId="31F1AFBE" w14:textId="77777777" w:rsidR="007D07FC" w:rsidRPr="00C44E54" w:rsidRDefault="007D07FC" w:rsidP="002356E9">
      <w:pPr>
        <w:ind w:left="567"/>
        <w:rPr>
          <w:lang w:val="it-IT"/>
        </w:rPr>
      </w:pPr>
      <w:r w:rsidRPr="00C44E54">
        <w:rPr>
          <w:lang w:val="it-IT"/>
        </w:rPr>
        <w:t>f) lista costurilor proiectului (eligibile și neeligibile);</w:t>
      </w:r>
    </w:p>
    <w:p w14:paraId="1FEFD1A2" w14:textId="6EBAE5A3" w:rsidR="007D07FC" w:rsidRPr="00C44E54" w:rsidRDefault="007D07FC" w:rsidP="002356E9">
      <w:pPr>
        <w:ind w:left="567"/>
        <w:rPr>
          <w:lang w:val="it-IT"/>
        </w:rPr>
      </w:pPr>
      <w:r w:rsidRPr="00C44E54">
        <w:rPr>
          <w:lang w:val="it-IT"/>
        </w:rPr>
        <w:t xml:space="preserve">g) </w:t>
      </w:r>
      <w:r w:rsidRPr="00097B21">
        <w:rPr>
          <w:lang w:val="it-IT"/>
        </w:rPr>
        <w:t>valoarea</w:t>
      </w:r>
      <w:r w:rsidR="00097B21" w:rsidRPr="00097B21">
        <w:rPr>
          <w:lang w:val="it-IT"/>
        </w:rPr>
        <w:t xml:space="preserve"> finanțării publice necesare pentru proiect</w:t>
      </w:r>
      <w:r w:rsidRPr="00097B21">
        <w:rPr>
          <w:lang w:val="it-IT"/>
        </w:rPr>
        <w:t>;</w:t>
      </w:r>
    </w:p>
    <w:p w14:paraId="4E4A03E0" w14:textId="3B91E506" w:rsidR="007D07FC" w:rsidRDefault="007D07FC" w:rsidP="002356E9">
      <w:pPr>
        <w:ind w:left="567"/>
        <w:rPr>
          <w:lang w:val="en-GB"/>
        </w:rPr>
      </w:pPr>
      <w:r w:rsidRPr="00242920">
        <w:rPr>
          <w:lang w:val="en-GB"/>
        </w:rPr>
        <w:t xml:space="preserve">h) </w:t>
      </w:r>
      <w:proofErr w:type="spellStart"/>
      <w:r w:rsidRPr="00242920">
        <w:rPr>
          <w:lang w:val="en-GB"/>
        </w:rPr>
        <w:t>analiza</w:t>
      </w:r>
      <w:proofErr w:type="spellEnd"/>
      <w:r w:rsidRPr="00242920">
        <w:rPr>
          <w:lang w:val="en-GB"/>
        </w:rPr>
        <w:t xml:space="preserve"> cost-</w:t>
      </w:r>
      <w:proofErr w:type="spellStart"/>
      <w:r w:rsidRPr="00242920">
        <w:rPr>
          <w:lang w:val="en-GB"/>
        </w:rPr>
        <w:t>beneficiu</w:t>
      </w:r>
      <w:proofErr w:type="spellEnd"/>
      <w:r w:rsidR="0015187F">
        <w:rPr>
          <w:lang w:val="en-GB"/>
        </w:rPr>
        <w:t xml:space="preserve">, care </w:t>
      </w:r>
      <w:proofErr w:type="spellStart"/>
      <w:r w:rsidR="0015187F">
        <w:rPr>
          <w:lang w:val="en-GB"/>
        </w:rPr>
        <w:t>să</w:t>
      </w:r>
      <w:proofErr w:type="spellEnd"/>
      <w:r w:rsidR="0015187F">
        <w:rPr>
          <w:lang w:val="en-GB"/>
        </w:rPr>
        <w:t xml:space="preserve"> </w:t>
      </w:r>
      <w:proofErr w:type="spellStart"/>
      <w:r w:rsidR="0015187F">
        <w:rPr>
          <w:lang w:val="en-GB"/>
        </w:rPr>
        <w:t>conțină</w:t>
      </w:r>
      <w:proofErr w:type="spellEnd"/>
      <w:r w:rsidR="0015187F">
        <w:rPr>
          <w:lang w:val="en-GB"/>
        </w:rPr>
        <w:t xml:space="preserve"> </w:t>
      </w:r>
      <w:proofErr w:type="spellStart"/>
      <w:r w:rsidR="0015187F">
        <w:rPr>
          <w:lang w:val="en-GB"/>
        </w:rPr>
        <w:t>și</w:t>
      </w:r>
      <w:proofErr w:type="spellEnd"/>
      <w:r w:rsidR="0015187F">
        <w:rPr>
          <w:lang w:val="en-GB"/>
        </w:rPr>
        <w:t xml:space="preserve"> </w:t>
      </w:r>
      <w:proofErr w:type="spellStart"/>
      <w:r w:rsidR="0015187F" w:rsidRPr="0015187F">
        <w:rPr>
          <w:lang w:val="en-GB"/>
        </w:rPr>
        <w:t>costul</w:t>
      </w:r>
      <w:proofErr w:type="spellEnd"/>
      <w:r w:rsidR="0015187F" w:rsidRPr="0015187F">
        <w:rPr>
          <w:lang w:val="en-GB"/>
        </w:rPr>
        <w:t xml:space="preserve"> </w:t>
      </w:r>
      <w:proofErr w:type="spellStart"/>
      <w:r w:rsidR="0015187F" w:rsidRPr="0015187F">
        <w:rPr>
          <w:lang w:val="en-GB"/>
        </w:rPr>
        <w:t>reducerii</w:t>
      </w:r>
      <w:proofErr w:type="spellEnd"/>
      <w:r w:rsidR="0015187F">
        <w:rPr>
          <w:lang w:val="en-GB"/>
        </w:rPr>
        <w:t xml:space="preserve"> </w:t>
      </w:r>
      <w:proofErr w:type="spellStart"/>
      <w:r w:rsidR="0015187F">
        <w:rPr>
          <w:lang w:val="en-GB"/>
        </w:rPr>
        <w:t>emisiilor</w:t>
      </w:r>
      <w:proofErr w:type="spellEnd"/>
      <w:r w:rsidR="00C813F3">
        <w:rPr>
          <w:lang w:val="en-GB"/>
        </w:rPr>
        <w:t xml:space="preserve"> de CO</w:t>
      </w:r>
      <w:r w:rsidR="00C813F3" w:rsidRPr="00C813F3">
        <w:rPr>
          <w:vertAlign w:val="subscript"/>
          <w:lang w:val="en-GB"/>
        </w:rPr>
        <w:t>2</w:t>
      </w:r>
      <w:r w:rsidR="0015187F">
        <w:rPr>
          <w:lang w:val="en-GB"/>
        </w:rPr>
        <w:t xml:space="preserve"> conform </w:t>
      </w:r>
      <w:proofErr w:type="spellStart"/>
      <w:r w:rsidR="0015187F">
        <w:rPr>
          <w:lang w:val="en-GB"/>
        </w:rPr>
        <w:t>anexa</w:t>
      </w:r>
      <w:proofErr w:type="spellEnd"/>
      <w:r w:rsidR="0015187F">
        <w:rPr>
          <w:lang w:val="en-GB"/>
        </w:rPr>
        <w:t xml:space="preserve"> III</w:t>
      </w:r>
      <w:r w:rsidR="00B9530F">
        <w:rPr>
          <w:lang w:val="en-GB"/>
        </w:rPr>
        <w:t>.</w:t>
      </w:r>
    </w:p>
    <w:p w14:paraId="61576E68" w14:textId="77777777" w:rsidR="00F374BE" w:rsidRPr="00242920" w:rsidRDefault="00F374BE" w:rsidP="002356E9">
      <w:pPr>
        <w:ind w:left="567"/>
        <w:rPr>
          <w:lang w:val="en-GB"/>
        </w:rPr>
      </w:pPr>
    </w:p>
    <w:p w14:paraId="088381EB" w14:textId="77777777" w:rsidR="007D07FC" w:rsidRPr="00242920" w:rsidRDefault="007D07FC" w:rsidP="002356E9">
      <w:pPr>
        <w:ind w:left="567"/>
        <w:rPr>
          <w:lang w:val="en-GB"/>
        </w:rPr>
      </w:pPr>
    </w:p>
    <w:p w14:paraId="381BCA2C" w14:textId="77777777" w:rsidR="007D07FC" w:rsidRPr="00242920" w:rsidRDefault="007D07FC" w:rsidP="002356E9">
      <w:pPr>
        <w:ind w:left="567"/>
        <w:rPr>
          <w:lang w:val="en-GB"/>
        </w:rPr>
      </w:pPr>
      <w:r w:rsidRPr="00242920">
        <w:rPr>
          <w:lang w:val="en-GB"/>
        </w:rPr>
        <w:t>Art. 1</w:t>
      </w:r>
      <w:r>
        <w:rPr>
          <w:lang w:val="en-GB"/>
        </w:rPr>
        <w:t>0</w:t>
      </w:r>
    </w:p>
    <w:p w14:paraId="1D27BD7F" w14:textId="77777777" w:rsidR="007D07FC" w:rsidRPr="00242920" w:rsidRDefault="007D07FC" w:rsidP="002356E9">
      <w:pPr>
        <w:pStyle w:val="ListParagraph"/>
        <w:numPr>
          <w:ilvl w:val="0"/>
          <w:numId w:val="29"/>
        </w:numPr>
        <w:spacing w:after="0" w:line="240" w:lineRule="auto"/>
        <w:ind w:left="567" w:firstLine="0"/>
        <w:contextualSpacing/>
        <w:rPr>
          <w:lang w:val="en-GB"/>
        </w:rPr>
      </w:pPr>
      <w:r w:rsidRPr="00242920">
        <w:rPr>
          <w:lang w:val="en-GB"/>
        </w:rPr>
        <w:t xml:space="preserve">La </w:t>
      </w:r>
      <w:proofErr w:type="spellStart"/>
      <w:r w:rsidRPr="00242920">
        <w:rPr>
          <w:lang w:val="en-GB"/>
        </w:rPr>
        <w:t>momentul</w:t>
      </w:r>
      <w:proofErr w:type="spellEnd"/>
      <w:r w:rsidRPr="00242920">
        <w:rPr>
          <w:lang w:val="en-GB"/>
        </w:rPr>
        <w:t xml:space="preserve"> </w:t>
      </w:r>
      <w:proofErr w:type="spellStart"/>
      <w:r w:rsidRPr="00242920">
        <w:rPr>
          <w:lang w:val="en-GB"/>
        </w:rPr>
        <w:t>depunerii</w:t>
      </w:r>
      <w:proofErr w:type="spellEnd"/>
      <w:r w:rsidRPr="00242920">
        <w:rPr>
          <w:lang w:val="en-GB"/>
        </w:rPr>
        <w:t xml:space="preserve"> </w:t>
      </w:r>
      <w:proofErr w:type="spellStart"/>
      <w:r w:rsidRPr="00242920">
        <w:rPr>
          <w:lang w:val="en-GB"/>
        </w:rPr>
        <w:t>solicitării</w:t>
      </w:r>
      <w:proofErr w:type="spellEnd"/>
      <w:r w:rsidRPr="00242920">
        <w:rPr>
          <w:lang w:val="en-GB"/>
        </w:rPr>
        <w:t xml:space="preserve"> de </w:t>
      </w:r>
      <w:proofErr w:type="spellStart"/>
      <w:r w:rsidRPr="00242920">
        <w:rPr>
          <w:lang w:val="en-GB"/>
        </w:rPr>
        <w:t>sprijin</w:t>
      </w:r>
      <w:proofErr w:type="spellEnd"/>
      <w:r w:rsidRPr="00242920">
        <w:rPr>
          <w:lang w:val="en-GB"/>
        </w:rPr>
        <w:t xml:space="preserve">, </w:t>
      </w:r>
      <w:proofErr w:type="spellStart"/>
      <w:r w:rsidRPr="00242920">
        <w:rPr>
          <w:lang w:val="en-GB"/>
        </w:rPr>
        <w:t>potențialii</w:t>
      </w:r>
      <w:proofErr w:type="spellEnd"/>
      <w:r w:rsidRPr="00242920">
        <w:rPr>
          <w:lang w:val="en-GB"/>
        </w:rPr>
        <w:t xml:space="preserve"> </w:t>
      </w:r>
      <w:proofErr w:type="spellStart"/>
      <w:r w:rsidRPr="00242920">
        <w:rPr>
          <w:lang w:val="en-GB"/>
        </w:rPr>
        <w:t>beneficiari</w:t>
      </w:r>
      <w:proofErr w:type="spellEnd"/>
      <w:r w:rsidRPr="00242920">
        <w:rPr>
          <w:lang w:val="en-GB"/>
        </w:rPr>
        <w:t xml:space="preserve"> ai </w:t>
      </w:r>
      <w:proofErr w:type="spellStart"/>
      <w:r w:rsidRPr="00242920">
        <w:rPr>
          <w:lang w:val="en-GB"/>
        </w:rPr>
        <w:t>schemei</w:t>
      </w:r>
      <w:proofErr w:type="spellEnd"/>
      <w:r w:rsidRPr="00242920">
        <w:rPr>
          <w:lang w:val="en-GB"/>
        </w:rPr>
        <w:t xml:space="preserve"> </w:t>
      </w:r>
      <w:proofErr w:type="spellStart"/>
      <w:r w:rsidRPr="00242920">
        <w:rPr>
          <w:lang w:val="en-GB"/>
        </w:rPr>
        <w:t>trebuie</w:t>
      </w:r>
      <w:proofErr w:type="spellEnd"/>
      <w:r w:rsidRPr="00242920">
        <w:rPr>
          <w:lang w:val="en-GB"/>
        </w:rPr>
        <w:t xml:space="preserve"> </w:t>
      </w:r>
      <w:proofErr w:type="spellStart"/>
      <w:r w:rsidRPr="00242920">
        <w:rPr>
          <w:lang w:val="en-GB"/>
        </w:rPr>
        <w:t>să</w:t>
      </w:r>
      <w:proofErr w:type="spellEnd"/>
      <w:r w:rsidRPr="00242920">
        <w:rPr>
          <w:lang w:val="en-GB"/>
        </w:rPr>
        <w:t xml:space="preserve"> </w:t>
      </w:r>
      <w:proofErr w:type="spellStart"/>
      <w:r w:rsidRPr="00242920">
        <w:rPr>
          <w:lang w:val="en-GB"/>
        </w:rPr>
        <w:t>îndeplinească</w:t>
      </w:r>
      <w:proofErr w:type="spellEnd"/>
      <w:r w:rsidRPr="00242920">
        <w:rPr>
          <w:lang w:val="en-GB"/>
        </w:rPr>
        <w:t xml:space="preserve"> </w:t>
      </w:r>
      <w:proofErr w:type="spellStart"/>
      <w:r w:rsidRPr="00242920">
        <w:rPr>
          <w:lang w:val="en-GB"/>
        </w:rPr>
        <w:t>următoarele</w:t>
      </w:r>
      <w:proofErr w:type="spellEnd"/>
      <w:r w:rsidRPr="00242920">
        <w:rPr>
          <w:lang w:val="en-GB"/>
        </w:rPr>
        <w:t xml:space="preserve"> </w:t>
      </w:r>
      <w:proofErr w:type="spellStart"/>
      <w:r w:rsidRPr="00242920">
        <w:rPr>
          <w:lang w:val="en-GB"/>
        </w:rPr>
        <w:t>condiții</w:t>
      </w:r>
      <w:proofErr w:type="spellEnd"/>
      <w:r w:rsidRPr="00242920">
        <w:rPr>
          <w:lang w:val="en-GB"/>
        </w:rPr>
        <w:t>:</w:t>
      </w:r>
    </w:p>
    <w:p w14:paraId="189D7DDE" w14:textId="5F0E1915" w:rsidR="007D07FC" w:rsidRPr="00162FC4" w:rsidRDefault="007D07FC" w:rsidP="00162FC4">
      <w:pPr>
        <w:pStyle w:val="ListParagraph"/>
        <w:numPr>
          <w:ilvl w:val="0"/>
          <w:numId w:val="38"/>
        </w:numPr>
        <w:rPr>
          <w:lang w:val="ro-RO"/>
        </w:rPr>
      </w:pPr>
      <w:r w:rsidRPr="00162FC4">
        <w:rPr>
          <w:lang w:val="ro-RO"/>
        </w:rPr>
        <w:t>împotriva lor nu au fost emise decizii de recuperare a unui ajutor de stat sau în cazul în care asemenea decizii au fost emise, acestea au fost executate conform prevederilor legale în vigoare;</w:t>
      </w:r>
    </w:p>
    <w:p w14:paraId="6052AEF0" w14:textId="04CCB38C" w:rsidR="00162FC4" w:rsidRDefault="00162FC4" w:rsidP="00162FC4">
      <w:pPr>
        <w:pStyle w:val="ListParagraph"/>
        <w:numPr>
          <w:ilvl w:val="0"/>
          <w:numId w:val="38"/>
        </w:numPr>
        <w:rPr>
          <w:lang w:val="ro-RO"/>
        </w:rPr>
      </w:pPr>
      <w:r w:rsidRPr="00162FC4">
        <w:rPr>
          <w:lang w:val="ro-RO"/>
        </w:rPr>
        <w:t xml:space="preserve">nu sunt în incapacitate de plată/în stare de </w:t>
      </w:r>
      <w:proofErr w:type="spellStart"/>
      <w:r w:rsidRPr="00162FC4">
        <w:rPr>
          <w:lang w:val="ro-RO"/>
        </w:rPr>
        <w:t>insolvenţă</w:t>
      </w:r>
      <w:proofErr w:type="spellEnd"/>
      <w:r w:rsidRPr="00162FC4">
        <w:rPr>
          <w:lang w:val="ro-RO"/>
        </w:rPr>
        <w:t xml:space="preserve"> conform prevederilor Legii nr. 85/2014 privind procedurile de prevenire a insolvenței și de insolvență, cu modificările </w:t>
      </w:r>
      <w:proofErr w:type="spellStart"/>
      <w:r w:rsidRPr="00162FC4">
        <w:rPr>
          <w:lang w:val="ro-RO"/>
        </w:rPr>
        <w:t>şi</w:t>
      </w:r>
      <w:proofErr w:type="spellEnd"/>
      <w:r w:rsidRPr="00162FC4">
        <w:rPr>
          <w:lang w:val="ro-RO"/>
        </w:rPr>
        <w:t xml:space="preserve"> completările ulterioare, după caz;</w:t>
      </w:r>
    </w:p>
    <w:p w14:paraId="40EEE55B" w14:textId="38A2E493" w:rsidR="00162FC4" w:rsidRPr="00162FC4" w:rsidRDefault="00162FC4" w:rsidP="00162FC4">
      <w:pPr>
        <w:pStyle w:val="ListParagraph"/>
        <w:numPr>
          <w:ilvl w:val="0"/>
          <w:numId w:val="38"/>
        </w:numPr>
        <w:rPr>
          <w:lang w:val="ro-RO"/>
        </w:rPr>
      </w:pPr>
      <w:r w:rsidRPr="00162FC4">
        <w:rPr>
          <w:lang w:val="ro-RO"/>
        </w:rPr>
        <w:t xml:space="preserve">nu sunt în stare de faliment, lichidare, are afacerile conduse de un administrator judiciar sau </w:t>
      </w:r>
      <w:proofErr w:type="spellStart"/>
      <w:r w:rsidRPr="00162FC4">
        <w:rPr>
          <w:lang w:val="ro-RO"/>
        </w:rPr>
        <w:t>activităţile</w:t>
      </w:r>
      <w:proofErr w:type="spellEnd"/>
      <w:r w:rsidRPr="00162FC4">
        <w:rPr>
          <w:lang w:val="ro-RO"/>
        </w:rPr>
        <w:t xml:space="preserve"> sale comerciale sunt suspendate ori fac obiectul unui aranjament cu creditorii sau este într-o </w:t>
      </w:r>
      <w:proofErr w:type="spellStart"/>
      <w:r w:rsidRPr="00162FC4">
        <w:rPr>
          <w:lang w:val="ro-RO"/>
        </w:rPr>
        <w:t>situaţie</w:t>
      </w:r>
      <w:proofErr w:type="spellEnd"/>
      <w:r w:rsidRPr="00162FC4">
        <w:rPr>
          <w:lang w:val="ro-RO"/>
        </w:rPr>
        <w:t xml:space="preserve"> similară cu cele anterioare, reglementată prin lege, ori face obiectul unei proceduri legale pentru declararea sa în stare de faliment, lichidare, conducerea afacerilor de un administrator judiciar;</w:t>
      </w:r>
    </w:p>
    <w:p w14:paraId="2984DA4C" w14:textId="1CBCEE91" w:rsidR="007D07FC" w:rsidRPr="00E37159" w:rsidRDefault="00162FC4" w:rsidP="002356E9">
      <w:pPr>
        <w:ind w:left="567"/>
        <w:rPr>
          <w:lang w:val="ro-RO"/>
        </w:rPr>
      </w:pPr>
      <w:r>
        <w:rPr>
          <w:lang w:val="ro-RO"/>
        </w:rPr>
        <w:t>d</w:t>
      </w:r>
      <w:r w:rsidR="007D07FC" w:rsidRPr="00E37159">
        <w:rPr>
          <w:lang w:val="ro-RO"/>
        </w:rPr>
        <w:t>)</w:t>
      </w:r>
      <w:r>
        <w:rPr>
          <w:lang w:val="ro-RO"/>
        </w:rPr>
        <w:t xml:space="preserve"> </w:t>
      </w:r>
      <w:r w:rsidR="007D07FC" w:rsidRPr="00E37159">
        <w:rPr>
          <w:lang w:val="ro-RO"/>
        </w:rPr>
        <w:t xml:space="preserve"> demonstrează capacitate tehnică și financiară pentru susținerea activităților proiectului;</w:t>
      </w:r>
    </w:p>
    <w:p w14:paraId="68B76F26" w14:textId="30770388" w:rsidR="007D07FC" w:rsidRDefault="00162FC4" w:rsidP="002356E9">
      <w:pPr>
        <w:ind w:left="567"/>
        <w:rPr>
          <w:lang w:val="ro-RO"/>
        </w:rPr>
      </w:pPr>
      <w:r>
        <w:rPr>
          <w:lang w:val="ro-RO"/>
        </w:rPr>
        <w:t>e</w:t>
      </w:r>
      <w:r w:rsidR="007D07FC" w:rsidRPr="00E37159">
        <w:rPr>
          <w:lang w:val="ro-RO"/>
        </w:rPr>
        <w:t>) și-au îndeplinit obligațiile de plată a impozitelor, taxelor și contribuțiilor de asigurări sociale către bugetele componente ale bugetului general consolidat;</w:t>
      </w:r>
    </w:p>
    <w:p w14:paraId="0EE2513B" w14:textId="138F27D8" w:rsidR="00162FC4" w:rsidRDefault="00162FC4" w:rsidP="002356E9">
      <w:pPr>
        <w:ind w:left="567"/>
        <w:rPr>
          <w:lang w:val="ro-RO"/>
        </w:rPr>
      </w:pPr>
      <w:r>
        <w:rPr>
          <w:lang w:val="ro-RO"/>
        </w:rPr>
        <w:t xml:space="preserve">f) </w:t>
      </w:r>
      <w:r w:rsidRPr="00162FC4">
        <w:rPr>
          <w:lang w:val="ro-RO"/>
        </w:rPr>
        <w:t>solicitantul/reprezentantul legal al solicitantului nu a fost condamnat prin hotărâre definitivă a unei instanțe judecătorești, pentru comiterea uneia dintre următoarele infracțiuni:</w:t>
      </w:r>
    </w:p>
    <w:p w14:paraId="514C4A4E" w14:textId="6F80701A" w:rsidR="00162FC4" w:rsidRDefault="00162FC4" w:rsidP="002356E9">
      <w:pPr>
        <w:ind w:left="567"/>
        <w:rPr>
          <w:lang w:val="ro-RO"/>
        </w:rPr>
      </w:pPr>
      <w:r>
        <w:rPr>
          <w:lang w:val="ro-RO"/>
        </w:rPr>
        <w:t xml:space="preserve">- </w:t>
      </w:r>
      <w:r w:rsidRPr="00162FC4">
        <w:rPr>
          <w:lang w:val="ro-RO"/>
        </w:rPr>
        <w:t xml:space="preserve">constituirea unui grup infracțional organizat (art. 367din Legea nr. 286/2009 privind Codul penal, cu modificările </w:t>
      </w:r>
      <w:proofErr w:type="spellStart"/>
      <w:r w:rsidRPr="00162FC4">
        <w:rPr>
          <w:lang w:val="ro-RO"/>
        </w:rPr>
        <w:t>şi</w:t>
      </w:r>
      <w:proofErr w:type="spellEnd"/>
      <w:r w:rsidRPr="00162FC4">
        <w:rPr>
          <w:lang w:val="ro-RO"/>
        </w:rPr>
        <w:t xml:space="preserve"> completările ulterioare), infracțiuni de corupție (art. 289-294 din Legea nr. 286/2009) și </w:t>
      </w:r>
      <w:proofErr w:type="spellStart"/>
      <w:r w:rsidRPr="00162FC4">
        <w:rPr>
          <w:lang w:val="ro-RO"/>
        </w:rPr>
        <w:t>infracţiuni</w:t>
      </w:r>
      <w:proofErr w:type="spellEnd"/>
      <w:r w:rsidRPr="00162FC4">
        <w:rPr>
          <w:lang w:val="ro-RO"/>
        </w:rPr>
        <w:t xml:space="preserve"> asimilate </w:t>
      </w:r>
      <w:proofErr w:type="spellStart"/>
      <w:r w:rsidRPr="00162FC4">
        <w:rPr>
          <w:lang w:val="ro-RO"/>
        </w:rPr>
        <w:t>infracţiunilor</w:t>
      </w:r>
      <w:proofErr w:type="spellEnd"/>
      <w:r w:rsidRPr="00162FC4">
        <w:rPr>
          <w:lang w:val="ro-RO"/>
        </w:rPr>
        <w:t xml:space="preserve"> de </w:t>
      </w:r>
      <w:proofErr w:type="spellStart"/>
      <w:r w:rsidRPr="00162FC4">
        <w:rPr>
          <w:lang w:val="ro-RO"/>
        </w:rPr>
        <w:t>corupţie</w:t>
      </w:r>
      <w:proofErr w:type="spellEnd"/>
      <w:r w:rsidRPr="00162FC4">
        <w:rPr>
          <w:lang w:val="ro-RO"/>
        </w:rPr>
        <w:t xml:space="preserve"> (art. 10-13 din Legea nr. 78/2000 ),</w:t>
      </w:r>
      <w:proofErr w:type="spellStart"/>
      <w:r w:rsidRPr="00162FC4">
        <w:rPr>
          <w:lang w:val="ro-RO"/>
        </w:rPr>
        <w:t>infracţiuni</w:t>
      </w:r>
      <w:proofErr w:type="spellEnd"/>
      <w:r w:rsidRPr="00162FC4">
        <w:rPr>
          <w:lang w:val="ro-RO"/>
        </w:rPr>
        <w:t xml:space="preserve"> împotriva intereselor financiare ale Uniunii Europene (art. 181 -185 din Legea nr. 78/2000), acte de terorism (art. 32-35 </w:t>
      </w:r>
      <w:proofErr w:type="spellStart"/>
      <w:r w:rsidRPr="00162FC4">
        <w:rPr>
          <w:lang w:val="ro-RO"/>
        </w:rPr>
        <w:t>şi</w:t>
      </w:r>
      <w:proofErr w:type="spellEnd"/>
      <w:r w:rsidRPr="00162FC4">
        <w:rPr>
          <w:lang w:val="ro-RO"/>
        </w:rPr>
        <w:t xml:space="preserve"> art. 37-38 din Legea nr. 535/2004), finanțarea terorismului (art. 36 din Legea nr. 535/2004), spălarea banilor (art. 29 din Legea nr. 656/2002), traficul </w:t>
      </w:r>
      <w:proofErr w:type="spellStart"/>
      <w:r w:rsidRPr="00162FC4">
        <w:rPr>
          <w:lang w:val="ro-RO"/>
        </w:rPr>
        <w:t>şi</w:t>
      </w:r>
      <w:proofErr w:type="spellEnd"/>
      <w:r w:rsidRPr="00162FC4">
        <w:rPr>
          <w:lang w:val="ro-RO"/>
        </w:rPr>
        <w:t xml:space="preserve"> exploatarea persoanelor vulnerabile (art. 209-217 din Legea nr. 286/2009) și frauda, în sensul articolului 1 din </w:t>
      </w:r>
      <w:proofErr w:type="spellStart"/>
      <w:r w:rsidRPr="00162FC4">
        <w:rPr>
          <w:lang w:val="ro-RO"/>
        </w:rPr>
        <w:t>Convenţia</w:t>
      </w:r>
      <w:proofErr w:type="spellEnd"/>
      <w:r w:rsidRPr="00162FC4">
        <w:rPr>
          <w:lang w:val="ro-RO"/>
        </w:rPr>
        <w:t xml:space="preserve"> privind protejarea intereselor financiare ale </w:t>
      </w:r>
      <w:proofErr w:type="spellStart"/>
      <w:r w:rsidRPr="00162FC4">
        <w:rPr>
          <w:lang w:val="ro-RO"/>
        </w:rPr>
        <w:t>Comunităţilor</w:t>
      </w:r>
      <w:proofErr w:type="spellEnd"/>
      <w:r w:rsidRPr="00162FC4">
        <w:rPr>
          <w:lang w:val="ro-RO"/>
        </w:rPr>
        <w:t xml:space="preserve"> Europene din 27 noiembrie 1995;</w:t>
      </w:r>
    </w:p>
    <w:p w14:paraId="5C11C9A0" w14:textId="1E58335C" w:rsidR="00162FC4" w:rsidRPr="00E37159" w:rsidRDefault="00162FC4" w:rsidP="002356E9">
      <w:pPr>
        <w:ind w:left="567"/>
        <w:rPr>
          <w:lang w:val="ro-RO"/>
        </w:rPr>
      </w:pPr>
      <w:r>
        <w:rPr>
          <w:lang w:val="ro-RO"/>
        </w:rPr>
        <w:t xml:space="preserve">g) </w:t>
      </w:r>
      <w:r w:rsidRPr="00162FC4">
        <w:rPr>
          <w:lang w:val="ro-RO"/>
        </w:rPr>
        <w:t>nu sunt întreprinderi în dificultate, respectiv nu se află în cel puțin una dintre situațiile prevăzute la art</w:t>
      </w:r>
      <w:r w:rsidRPr="00FA69BF">
        <w:rPr>
          <w:lang w:val="ro-RO"/>
        </w:rPr>
        <w:t xml:space="preserve">. </w:t>
      </w:r>
      <w:r w:rsidR="00FA69BF" w:rsidRPr="00FA69BF">
        <w:rPr>
          <w:lang w:val="ro-RO"/>
        </w:rPr>
        <w:t>6</w:t>
      </w:r>
      <w:r w:rsidRPr="00FA69BF">
        <w:rPr>
          <w:lang w:val="ro-RO"/>
        </w:rPr>
        <w:t xml:space="preserve">, lit. </w:t>
      </w:r>
      <w:r w:rsidR="00FA69BF" w:rsidRPr="00FA69BF">
        <w:rPr>
          <w:lang w:val="ro-RO"/>
        </w:rPr>
        <w:t>k</w:t>
      </w:r>
      <w:r w:rsidRPr="00FA69BF">
        <w:rPr>
          <w:lang w:val="ro-RO"/>
        </w:rPr>
        <w:t>) din prezenta schemă;</w:t>
      </w:r>
    </w:p>
    <w:p w14:paraId="27D64D9B" w14:textId="77777777" w:rsidR="007D07FC" w:rsidRPr="00162FC4" w:rsidRDefault="007D07FC" w:rsidP="002356E9">
      <w:pPr>
        <w:ind w:left="567"/>
        <w:rPr>
          <w:lang w:val="ro-RO"/>
        </w:rPr>
      </w:pPr>
      <w:r w:rsidRPr="00162FC4">
        <w:rPr>
          <w:lang w:val="ro-RO"/>
        </w:rPr>
        <w:t>(2) Beneficiarul îndeplinește și alte condiții specificate în Ghidul solicitantului, care nu aduc atingere prevederilor prezentei scheme de ajutor de stat.</w:t>
      </w:r>
    </w:p>
    <w:p w14:paraId="636C0009" w14:textId="77777777" w:rsidR="007D07FC" w:rsidRDefault="007D07FC" w:rsidP="002356E9">
      <w:pPr>
        <w:ind w:left="567"/>
        <w:rPr>
          <w:lang w:val="ro-RO"/>
        </w:rPr>
      </w:pPr>
    </w:p>
    <w:p w14:paraId="414A331C" w14:textId="1AAA2FB1" w:rsidR="007D07FC" w:rsidRPr="008167F5" w:rsidRDefault="00F36AB5" w:rsidP="002356E9">
      <w:pPr>
        <w:ind w:left="567"/>
        <w:rPr>
          <w:lang w:val="ro-RO"/>
        </w:rPr>
      </w:pPr>
      <w:r>
        <w:rPr>
          <w:lang w:val="ro-RO"/>
        </w:rPr>
        <w:t xml:space="preserve">Capitolul </w:t>
      </w:r>
      <w:r w:rsidR="007D07FC" w:rsidRPr="008167F5">
        <w:rPr>
          <w:lang w:val="ro-RO"/>
        </w:rPr>
        <w:t>VII Condiții generale de eligibilitate a proiectelor</w:t>
      </w:r>
    </w:p>
    <w:p w14:paraId="56978AD8" w14:textId="77777777" w:rsidR="007D07FC" w:rsidRPr="008167F5" w:rsidRDefault="007D07FC" w:rsidP="002356E9">
      <w:pPr>
        <w:ind w:left="567"/>
        <w:rPr>
          <w:lang w:val="ro-RO"/>
        </w:rPr>
      </w:pPr>
      <w:r w:rsidRPr="008167F5">
        <w:rPr>
          <w:lang w:val="ro-RO"/>
        </w:rPr>
        <w:t>Art</w:t>
      </w:r>
      <w:r>
        <w:rPr>
          <w:lang w:val="ro-RO"/>
        </w:rPr>
        <w:t>.</w:t>
      </w:r>
      <w:r w:rsidRPr="008167F5">
        <w:rPr>
          <w:lang w:val="ro-RO"/>
        </w:rPr>
        <w:t xml:space="preserve"> 1</w:t>
      </w:r>
      <w:r>
        <w:rPr>
          <w:lang w:val="ro-RO"/>
        </w:rPr>
        <w:t>1</w:t>
      </w:r>
    </w:p>
    <w:p w14:paraId="0EB659DD" w14:textId="77777777" w:rsidR="007D07FC" w:rsidRPr="008167F5" w:rsidRDefault="007D07FC" w:rsidP="002356E9">
      <w:pPr>
        <w:ind w:left="567"/>
        <w:rPr>
          <w:lang w:val="ro-RO"/>
        </w:rPr>
      </w:pPr>
      <w:r w:rsidRPr="008167F5">
        <w:rPr>
          <w:lang w:val="ro-RO"/>
        </w:rPr>
        <w:t xml:space="preserve">(1) </w:t>
      </w:r>
      <w:r>
        <w:rPr>
          <w:lang w:val="ro-RO"/>
        </w:rPr>
        <w:tab/>
      </w:r>
      <w:r w:rsidRPr="008167F5">
        <w:rPr>
          <w:lang w:val="ro-RO"/>
        </w:rPr>
        <w:t>La momentul depunerii, proiectele trebuie să îndeplinească următoarele condiții de eligibilitate:</w:t>
      </w:r>
    </w:p>
    <w:p w14:paraId="3FB6ABA1" w14:textId="4FDA4708" w:rsidR="002530B9" w:rsidRDefault="007D07FC" w:rsidP="002356E9">
      <w:pPr>
        <w:ind w:left="567"/>
        <w:rPr>
          <w:lang w:val="ro-RO"/>
        </w:rPr>
      </w:pPr>
      <w:r w:rsidRPr="008167F5">
        <w:rPr>
          <w:lang w:val="ro-RO"/>
        </w:rPr>
        <w:t xml:space="preserve">a) </w:t>
      </w:r>
      <w:r w:rsidR="002530B9">
        <w:rPr>
          <w:lang w:val="ro-RO"/>
        </w:rPr>
        <w:t>P</w:t>
      </w:r>
      <w:r w:rsidR="002530B9" w:rsidRPr="002530B9">
        <w:rPr>
          <w:lang w:val="ro-RO"/>
        </w:rPr>
        <w:t xml:space="preserve">roiectul este implementat pe teritoriul României; </w:t>
      </w:r>
    </w:p>
    <w:p w14:paraId="59F84C8E" w14:textId="00E78F73" w:rsidR="007D07FC" w:rsidRDefault="007D07FC" w:rsidP="002356E9">
      <w:pPr>
        <w:ind w:left="567"/>
        <w:rPr>
          <w:lang w:val="ro-RO"/>
        </w:rPr>
      </w:pPr>
      <w:r w:rsidRPr="008167F5">
        <w:rPr>
          <w:lang w:val="ro-RO"/>
        </w:rPr>
        <w:t xml:space="preserve">b) </w:t>
      </w:r>
      <w:r w:rsidR="002530B9">
        <w:rPr>
          <w:lang w:val="ro-RO"/>
        </w:rPr>
        <w:t>P</w:t>
      </w:r>
      <w:r w:rsidRPr="002530B9">
        <w:rPr>
          <w:lang w:val="ro-RO"/>
        </w:rPr>
        <w:t xml:space="preserve">roiectul trebuie să vizeze </w:t>
      </w:r>
      <w:r w:rsidR="005B5BE7">
        <w:rPr>
          <w:lang w:val="ro-RO"/>
        </w:rPr>
        <w:t xml:space="preserve">fie achiziția de vehicule pentru transportul </w:t>
      </w:r>
      <w:r w:rsidR="005B5BE7" w:rsidRPr="002530B9">
        <w:rPr>
          <w:lang w:val="ro-RO"/>
        </w:rPr>
        <w:t>rutier</w:t>
      </w:r>
      <w:r w:rsidR="005B5BE7">
        <w:rPr>
          <w:lang w:val="ro-RO"/>
        </w:rPr>
        <w:t xml:space="preserve"> </w:t>
      </w:r>
      <w:r w:rsidR="005B5BE7" w:rsidRPr="002530B9">
        <w:rPr>
          <w:lang w:val="ro-RO"/>
        </w:rPr>
        <w:t>pentru a se califica drept vehicule cu emisii zero</w:t>
      </w:r>
      <w:r w:rsidR="005B5BE7">
        <w:rPr>
          <w:lang w:val="ro-RO"/>
        </w:rPr>
        <w:t xml:space="preserve">, fie </w:t>
      </w:r>
      <w:r w:rsidR="002530B9" w:rsidRPr="002530B9">
        <w:rPr>
          <w:lang w:val="ro-RO"/>
        </w:rPr>
        <w:t>modernizarea vehiculelor pentru transportul</w:t>
      </w:r>
      <w:r w:rsidR="005B5BE7">
        <w:rPr>
          <w:lang w:val="ro-RO"/>
        </w:rPr>
        <w:t xml:space="preserve"> </w:t>
      </w:r>
      <w:r w:rsidR="002530B9" w:rsidRPr="002530B9">
        <w:rPr>
          <w:lang w:val="ro-RO"/>
        </w:rPr>
        <w:lastRenderedPageBreak/>
        <w:t>feroviar, maritim și pe căi navigabile interioare pentru a se califica drept vehicule nepoluante sau vehicule cu emisii zero</w:t>
      </w:r>
      <w:r w:rsidRPr="002530B9">
        <w:rPr>
          <w:lang w:val="ro-RO"/>
        </w:rPr>
        <w:t>;</w:t>
      </w:r>
    </w:p>
    <w:p w14:paraId="0C3B42B7" w14:textId="1F7741CE" w:rsidR="002530B9" w:rsidRDefault="002530B9" w:rsidP="002356E9">
      <w:pPr>
        <w:ind w:left="567"/>
        <w:rPr>
          <w:lang w:val="ro-RO"/>
        </w:rPr>
      </w:pPr>
      <w:r>
        <w:rPr>
          <w:lang w:val="ro-RO"/>
        </w:rPr>
        <w:t xml:space="preserve">c) </w:t>
      </w:r>
      <w:r w:rsidRPr="002530B9">
        <w:rPr>
          <w:lang w:val="ro-RO"/>
        </w:rPr>
        <w:t>Perioada de implementare a proiectului se încadrează în perioada de eligibilitate a cheltuielilor, respectiv între data depunerii cererii de finanțare și data preconizată de finalizare, dar nu mai târziu de 30.06.20</w:t>
      </w:r>
      <w:r w:rsidR="009D62EF">
        <w:rPr>
          <w:lang w:val="ro-RO"/>
        </w:rPr>
        <w:t>29</w:t>
      </w:r>
      <w:r w:rsidRPr="002530B9">
        <w:rPr>
          <w:lang w:val="ro-RO"/>
        </w:rPr>
        <w:t>, cu respectarea principiului “demararea lucrărilor” prevăzut la art. 2 din Regulament;</w:t>
      </w:r>
    </w:p>
    <w:p w14:paraId="6F35D551" w14:textId="096F6AE5" w:rsidR="007D07FC" w:rsidRDefault="009D62EF" w:rsidP="002356E9">
      <w:pPr>
        <w:ind w:left="567"/>
        <w:rPr>
          <w:lang w:val="ro-RO"/>
        </w:rPr>
      </w:pPr>
      <w:r>
        <w:rPr>
          <w:lang w:val="ro-RO"/>
        </w:rPr>
        <w:t xml:space="preserve">d) </w:t>
      </w:r>
      <w:r w:rsidR="007D07FC" w:rsidRPr="008167F5">
        <w:rPr>
          <w:lang w:val="ro-RO"/>
        </w:rPr>
        <w:t>Proiectul respectă principiul „efectului stimulativ“ conform prevederilor art. 6 din Regulament.</w:t>
      </w:r>
    </w:p>
    <w:p w14:paraId="7CDFDBDC" w14:textId="5722C769" w:rsidR="002530B9" w:rsidRDefault="009D62EF" w:rsidP="002356E9">
      <w:pPr>
        <w:ind w:left="567"/>
        <w:rPr>
          <w:lang w:val="ro-RO"/>
        </w:rPr>
      </w:pPr>
      <w:r>
        <w:rPr>
          <w:lang w:val="ro-RO"/>
        </w:rPr>
        <w:t xml:space="preserve">e) </w:t>
      </w:r>
      <w:r w:rsidR="002530B9" w:rsidRPr="002530B9">
        <w:rPr>
          <w:lang w:val="ro-RO"/>
        </w:rPr>
        <w:t xml:space="preserve">Proiectul prezintă un studiu de fezabilitate, întocmit conform prevederilor HG 907/2016, care fundamentează și propune minimum două scenarii/opțiuni </w:t>
      </w:r>
      <w:proofErr w:type="spellStart"/>
      <w:r w:rsidR="002530B9" w:rsidRPr="002530B9">
        <w:rPr>
          <w:lang w:val="ro-RO"/>
        </w:rPr>
        <w:t>tehnico</w:t>
      </w:r>
      <w:proofErr w:type="spellEnd"/>
      <w:r w:rsidR="002530B9" w:rsidRPr="002530B9">
        <w:rPr>
          <w:lang w:val="ro-RO"/>
        </w:rPr>
        <w:t xml:space="preserve">-economice diferite, recomandând, justificat și documentat, scenariul/opțiunea </w:t>
      </w:r>
      <w:proofErr w:type="spellStart"/>
      <w:r w:rsidR="002530B9" w:rsidRPr="002530B9">
        <w:rPr>
          <w:lang w:val="ro-RO"/>
        </w:rPr>
        <w:t>tehnico</w:t>
      </w:r>
      <w:proofErr w:type="spellEnd"/>
      <w:r w:rsidR="002530B9" w:rsidRPr="002530B9">
        <w:rPr>
          <w:lang w:val="ro-RO"/>
        </w:rPr>
        <w:t>-economic(ă) optim(ă) pentru realizarea obiectivului de investiții</w:t>
      </w:r>
    </w:p>
    <w:p w14:paraId="37352A17" w14:textId="57CF3473" w:rsidR="002530B9" w:rsidRDefault="002530B9" w:rsidP="002356E9">
      <w:pPr>
        <w:ind w:left="567"/>
        <w:rPr>
          <w:lang w:val="ro-RO"/>
        </w:rPr>
      </w:pPr>
      <w:r w:rsidRPr="002530B9">
        <w:rPr>
          <w:lang w:val="ro-RO"/>
        </w:rPr>
        <w:t>Studiul de fezabilitate se realizează și se semnează de elaborator/i, care își însușesc și asumă datele și soluțiile propuse, în conformitate cu prevederile HG 907/2016.</w:t>
      </w:r>
    </w:p>
    <w:p w14:paraId="59205B5C" w14:textId="2C01CAE5" w:rsidR="009D62EF" w:rsidRDefault="00B9530F" w:rsidP="002356E9">
      <w:pPr>
        <w:ind w:left="567"/>
        <w:rPr>
          <w:lang w:val="ro-RO"/>
        </w:rPr>
      </w:pPr>
      <w:r>
        <w:rPr>
          <w:lang w:val="ro-RO"/>
        </w:rPr>
        <w:t>f</w:t>
      </w:r>
      <w:r w:rsidR="009D62EF">
        <w:rPr>
          <w:lang w:val="ro-RO"/>
        </w:rPr>
        <w:t xml:space="preserve">) </w:t>
      </w:r>
      <w:r w:rsidR="009D62EF" w:rsidRPr="009D62EF">
        <w:rPr>
          <w:lang w:val="ro-RO"/>
        </w:rPr>
        <w:t>Proiectul respectă reglementările naționale și comunitare privind eligibilitatea cheltuielilor, promovarea egalității de șanse și politica nediscriminatorie, dezvoltarea durabilă, tehnologia informației, achizițiile publice, informare și publicitate, ajutorul de stat precum și orice alte prevederi legale aplicabile fondurilor europene;</w:t>
      </w:r>
    </w:p>
    <w:p w14:paraId="104720B9" w14:textId="0C175764" w:rsidR="009D62EF" w:rsidRDefault="00B9530F" w:rsidP="002356E9">
      <w:pPr>
        <w:ind w:left="567"/>
        <w:rPr>
          <w:lang w:val="ro-RO"/>
        </w:rPr>
      </w:pPr>
      <w:r>
        <w:rPr>
          <w:lang w:val="ro-RO"/>
        </w:rPr>
        <w:t>g</w:t>
      </w:r>
      <w:r w:rsidR="009D62EF">
        <w:rPr>
          <w:lang w:val="ro-RO"/>
        </w:rPr>
        <w:t xml:space="preserve">) </w:t>
      </w:r>
      <w:r w:rsidR="009D62EF" w:rsidRPr="009D62EF">
        <w:rPr>
          <w:lang w:val="ro-RO"/>
        </w:rPr>
        <w:t>Bugetul proiectului respectă indicațiile privind încadrarea în categoriile de cheltuieli eligibile finanțate prin prezenta schemă;</w:t>
      </w:r>
    </w:p>
    <w:p w14:paraId="68AAAD16" w14:textId="32CB321F" w:rsidR="009D62EF" w:rsidRDefault="00B9530F" w:rsidP="002356E9">
      <w:pPr>
        <w:ind w:left="567"/>
        <w:rPr>
          <w:lang w:val="ro-RO"/>
        </w:rPr>
      </w:pPr>
      <w:r>
        <w:rPr>
          <w:lang w:val="ro-RO"/>
        </w:rPr>
        <w:t>h</w:t>
      </w:r>
      <w:r w:rsidR="009D62EF">
        <w:rPr>
          <w:lang w:val="ro-RO"/>
        </w:rPr>
        <w:t>) Componentele/echipamentele</w:t>
      </w:r>
      <w:r w:rsidR="009D62EF" w:rsidRPr="009D62EF">
        <w:rPr>
          <w:lang w:val="ro-RO"/>
        </w:rPr>
        <w:t xml:space="preserve"> pentru care se solicită finanțare sunt noi/de generație nouă și respectă prețul de echilibru al pieței pentru categoria respectivă de </w:t>
      </w:r>
      <w:r w:rsidR="009D62EF">
        <w:rPr>
          <w:lang w:val="ro-RO"/>
        </w:rPr>
        <w:t>componentă/</w:t>
      </w:r>
      <w:r w:rsidR="009D62EF" w:rsidRPr="009D62EF">
        <w:rPr>
          <w:lang w:val="ro-RO"/>
        </w:rPr>
        <w:t>echipament, la momentul solicitării finanțării;</w:t>
      </w:r>
    </w:p>
    <w:p w14:paraId="7F458A65" w14:textId="3AD1721A" w:rsidR="007D07FC" w:rsidRDefault="00B9530F" w:rsidP="002356E9">
      <w:pPr>
        <w:ind w:left="567"/>
        <w:rPr>
          <w:lang w:val="ro-RO"/>
        </w:rPr>
      </w:pPr>
      <w:r>
        <w:rPr>
          <w:lang w:val="ro-RO"/>
        </w:rPr>
        <w:t>i</w:t>
      </w:r>
      <w:r w:rsidR="009D62EF">
        <w:rPr>
          <w:lang w:val="ro-RO"/>
        </w:rPr>
        <w:t xml:space="preserve">) </w:t>
      </w:r>
      <w:r w:rsidR="007D07FC" w:rsidRPr="009D62EF">
        <w:rPr>
          <w:lang w:val="ro-RO"/>
        </w:rPr>
        <w:t xml:space="preserve">Proiectul nu a mai beneficiat de finanțare din fonduri publice, cu excepția studiilor preliminare - studiul de prefezabilitate, analiza </w:t>
      </w:r>
      <w:proofErr w:type="spellStart"/>
      <w:r w:rsidR="007D07FC" w:rsidRPr="009D62EF">
        <w:rPr>
          <w:lang w:val="ro-RO"/>
        </w:rPr>
        <w:t>geotopografică</w:t>
      </w:r>
      <w:proofErr w:type="spellEnd"/>
      <w:r w:rsidR="007D07FC" w:rsidRPr="009D62EF">
        <w:rPr>
          <w:lang w:val="ro-RO"/>
        </w:rPr>
        <w:t>, studiu de fezabilitate, proiect tehnic, detalii de execuție și este condiționat de faptul ca acestea să nu fie solicitate pentru finanțare în temeiul prezentei scheme de ajutor.</w:t>
      </w:r>
    </w:p>
    <w:p w14:paraId="132910E5" w14:textId="4B9396A3" w:rsidR="009D62EF" w:rsidRDefault="00B9530F" w:rsidP="009D62EF">
      <w:pPr>
        <w:ind w:left="567"/>
        <w:rPr>
          <w:lang w:val="ro-RO"/>
        </w:rPr>
      </w:pPr>
      <w:r>
        <w:rPr>
          <w:lang w:val="ro-RO"/>
        </w:rPr>
        <w:t>j</w:t>
      </w:r>
      <w:r w:rsidR="009D62EF">
        <w:rPr>
          <w:lang w:val="ro-RO"/>
        </w:rPr>
        <w:t xml:space="preserve">) </w:t>
      </w:r>
      <w:r w:rsidR="009D62EF" w:rsidRPr="009D62EF">
        <w:rPr>
          <w:lang w:val="ro-RO"/>
        </w:rPr>
        <w:t xml:space="preserve">Durata de implementare a proiectului nu depășește data </w:t>
      </w:r>
      <w:r w:rsidR="009D62EF" w:rsidRPr="009B28D3">
        <w:rPr>
          <w:highlight w:val="yellow"/>
          <w:lang w:val="ro-RO"/>
        </w:rPr>
        <w:t>de 30.</w:t>
      </w:r>
      <w:r w:rsidR="00D16C1D" w:rsidRPr="009B28D3">
        <w:rPr>
          <w:highlight w:val="yellow"/>
          <w:lang w:val="ro-RO"/>
        </w:rPr>
        <w:t>12</w:t>
      </w:r>
      <w:r w:rsidR="009D62EF" w:rsidRPr="009B28D3">
        <w:rPr>
          <w:highlight w:val="yellow"/>
          <w:lang w:val="ro-RO"/>
        </w:rPr>
        <w:t>.2029;</w:t>
      </w:r>
    </w:p>
    <w:p w14:paraId="71B5ECFB" w14:textId="38212BFB" w:rsidR="009D62EF" w:rsidRPr="009D62EF" w:rsidRDefault="00B9530F" w:rsidP="009D62EF">
      <w:pPr>
        <w:ind w:left="567"/>
        <w:rPr>
          <w:lang w:val="ro-RO"/>
        </w:rPr>
      </w:pPr>
      <w:r>
        <w:rPr>
          <w:lang w:val="ro-RO"/>
        </w:rPr>
        <w:t>k</w:t>
      </w:r>
      <w:r w:rsidR="009D62EF">
        <w:rPr>
          <w:lang w:val="ro-RO"/>
        </w:rPr>
        <w:t xml:space="preserve">) </w:t>
      </w:r>
      <w:r w:rsidR="009D62EF" w:rsidRPr="009D62EF">
        <w:rPr>
          <w:lang w:val="ro-RO"/>
        </w:rPr>
        <w:t xml:space="preserve">Valoarea ajutorului de stat solicitat nu </w:t>
      </w:r>
      <w:r w:rsidR="009D62EF" w:rsidRPr="005E79B0">
        <w:rPr>
          <w:lang w:val="ro-RO"/>
        </w:rPr>
        <w:t>depășește 15 milioane EUR pe întreprindere</w:t>
      </w:r>
      <w:r w:rsidR="005E79B0">
        <w:rPr>
          <w:lang w:val="ro-RO"/>
        </w:rPr>
        <w:t xml:space="preserve"> </w:t>
      </w:r>
      <w:r w:rsidR="009D62EF" w:rsidRPr="009D62EF">
        <w:rPr>
          <w:lang w:val="ro-RO"/>
        </w:rPr>
        <w:t xml:space="preserve">(echivalent în lei la cursul </w:t>
      </w:r>
      <w:proofErr w:type="spellStart"/>
      <w:r w:rsidR="009D62EF" w:rsidRPr="009D62EF">
        <w:rPr>
          <w:lang w:val="ro-RO"/>
        </w:rPr>
        <w:t>InforEuro</w:t>
      </w:r>
      <w:proofErr w:type="spellEnd"/>
      <w:r w:rsidR="009D62EF" w:rsidRPr="009D62EF">
        <w:rPr>
          <w:lang w:val="ro-RO"/>
        </w:rPr>
        <w:t xml:space="preserve"> din luna anterioară deschiderii procedurii de ofertare concurențială).</w:t>
      </w:r>
    </w:p>
    <w:p w14:paraId="3108E937" w14:textId="1B934610" w:rsidR="009D62EF" w:rsidRDefault="009D62EF" w:rsidP="005E79B0">
      <w:pPr>
        <w:ind w:left="567"/>
        <w:rPr>
          <w:lang w:val="ro-RO"/>
        </w:rPr>
      </w:pPr>
      <w:r w:rsidRPr="008167F5">
        <w:rPr>
          <w:lang w:val="ro-RO"/>
        </w:rPr>
        <w:t xml:space="preserve">(2) </w:t>
      </w:r>
      <w:r>
        <w:rPr>
          <w:lang w:val="ro-RO"/>
        </w:rPr>
        <w:tab/>
      </w:r>
      <w:r w:rsidRPr="008167F5">
        <w:rPr>
          <w:lang w:val="ro-RO"/>
        </w:rPr>
        <w:t>Proiectul îndeplinește, pe lângă condițiile menționate la alin. (1), și condițiile specificate în Ghidul solicitantului, care nu aduc atingere prevederilor în materie de ajutor de stat.</w:t>
      </w:r>
      <w:r>
        <w:rPr>
          <w:lang w:val="ro-RO"/>
        </w:rPr>
        <w:tab/>
      </w:r>
    </w:p>
    <w:p w14:paraId="224706CD" w14:textId="09973A47" w:rsidR="009B28D3" w:rsidRPr="009B28D3" w:rsidRDefault="007D07FC" w:rsidP="006622B3">
      <w:pPr>
        <w:ind w:left="567"/>
        <w:rPr>
          <w:lang w:val="ro-RO"/>
        </w:rPr>
      </w:pPr>
      <w:r>
        <w:rPr>
          <w:lang w:val="ro-RO"/>
        </w:rPr>
        <w:t>(</w:t>
      </w:r>
      <w:r w:rsidR="009B28D3">
        <w:rPr>
          <w:lang w:val="ro-RO"/>
        </w:rPr>
        <w:t>3</w:t>
      </w:r>
      <w:r>
        <w:rPr>
          <w:lang w:val="ro-RO"/>
        </w:rPr>
        <w:t>)</w:t>
      </w:r>
      <w:r>
        <w:rPr>
          <w:lang w:val="ro-RO"/>
        </w:rPr>
        <w:tab/>
      </w:r>
      <w:r w:rsidRPr="009B28D3">
        <w:rPr>
          <w:lang w:val="ro-RO"/>
        </w:rPr>
        <w:t>Sunt eligibile</w:t>
      </w:r>
      <w:r w:rsidR="006622B3" w:rsidRPr="009B28D3">
        <w:rPr>
          <w:lang w:val="ro-RO"/>
        </w:rPr>
        <w:t xml:space="preserve"> proiectele care </w:t>
      </w:r>
      <w:r w:rsidR="009B28D3" w:rsidRPr="009B28D3">
        <w:rPr>
          <w:lang w:val="ro-RO"/>
        </w:rPr>
        <w:t>se încadrează fie în submăsura 1, fie în submăsura 2, după cum urmează:</w:t>
      </w:r>
    </w:p>
    <w:p w14:paraId="5DFEA2BE" w14:textId="5DD7F18B" w:rsidR="009B28D3" w:rsidRPr="009B28D3" w:rsidRDefault="009B28D3" w:rsidP="006622B3">
      <w:pPr>
        <w:ind w:left="567"/>
        <w:rPr>
          <w:lang w:val="ro-RO"/>
        </w:rPr>
      </w:pPr>
      <w:r w:rsidRPr="009B28D3">
        <w:rPr>
          <w:lang w:val="ro-RO"/>
        </w:rPr>
        <w:t>Submăsura 1</w:t>
      </w:r>
    </w:p>
    <w:p w14:paraId="65744C6E" w14:textId="39DB0905" w:rsidR="009B28D3" w:rsidRPr="009B28D3" w:rsidRDefault="009B28D3" w:rsidP="009B28D3">
      <w:pPr>
        <w:pStyle w:val="ListParagraph"/>
        <w:numPr>
          <w:ilvl w:val="0"/>
          <w:numId w:val="41"/>
        </w:numPr>
        <w:rPr>
          <w:lang w:val="ro-RO"/>
        </w:rPr>
      </w:pPr>
      <w:r w:rsidRPr="009B28D3">
        <w:rPr>
          <w:lang w:val="ro-RO"/>
        </w:rPr>
        <w:t>achiziția vehiculelor grele de marfă, respectiv o dubită sau un camion, cu o greutate brută proiectată fără încărcătură mai mare de 3,5 tone, alimentate de o baterie electrică care poate fi încărcată și reîncărcată numai prin conectarea la o sursă externă de energie electrică pentru a se califica drept vehicule cu emisii zero.</w:t>
      </w:r>
    </w:p>
    <w:p w14:paraId="1D2A3D9D" w14:textId="77777777" w:rsidR="00B9530F" w:rsidRDefault="00B9530F" w:rsidP="009B28D3">
      <w:pPr>
        <w:ind w:left="567"/>
        <w:rPr>
          <w:lang w:val="ro-RO"/>
        </w:rPr>
      </w:pPr>
    </w:p>
    <w:p w14:paraId="650129DD" w14:textId="6BA11186" w:rsidR="009B28D3" w:rsidRDefault="009B28D3" w:rsidP="009B28D3">
      <w:pPr>
        <w:ind w:left="567"/>
        <w:rPr>
          <w:lang w:val="ro-RO"/>
        </w:rPr>
      </w:pPr>
      <w:r w:rsidRPr="009B28D3">
        <w:rPr>
          <w:lang w:val="ro-RO"/>
        </w:rPr>
        <w:lastRenderedPageBreak/>
        <w:t>Submăsura 2</w:t>
      </w:r>
    </w:p>
    <w:p w14:paraId="68A5C76E" w14:textId="31102309" w:rsidR="002356E9" w:rsidRPr="003121C4" w:rsidRDefault="009B28D3" w:rsidP="003121C4">
      <w:pPr>
        <w:pStyle w:val="ListParagraph"/>
        <w:numPr>
          <w:ilvl w:val="0"/>
          <w:numId w:val="41"/>
        </w:numPr>
        <w:rPr>
          <w:lang w:val="ro-RO"/>
        </w:rPr>
      </w:pPr>
      <w:r w:rsidRPr="009B28D3">
        <w:rPr>
          <w:lang w:val="ro-RO"/>
        </w:rPr>
        <w:t>modernizarea vehiculelor pentru transportul feroviar, maritim și pe căi navigabile interioare pentru a se califica drept vehicule nepoluante sau vehicule cu emisii zero</w:t>
      </w:r>
    </w:p>
    <w:p w14:paraId="0E9A6A22" w14:textId="1358DDBA" w:rsidR="007D07FC" w:rsidRPr="008167F5" w:rsidRDefault="00C76561" w:rsidP="002356E9">
      <w:pPr>
        <w:ind w:left="567"/>
        <w:rPr>
          <w:lang w:val="ro-RO"/>
        </w:rPr>
      </w:pPr>
      <w:r>
        <w:rPr>
          <w:lang w:val="ro-RO"/>
        </w:rPr>
        <w:t xml:space="preserve">Capitolul </w:t>
      </w:r>
      <w:r w:rsidR="00B9530F">
        <w:rPr>
          <w:lang w:val="ro-RO"/>
        </w:rPr>
        <w:t>VIII</w:t>
      </w:r>
      <w:r w:rsidR="007D07FC" w:rsidRPr="008167F5">
        <w:rPr>
          <w:lang w:val="ro-RO"/>
        </w:rPr>
        <w:t xml:space="preserve"> Durata</w:t>
      </w:r>
    </w:p>
    <w:p w14:paraId="54E64F1A" w14:textId="77777777" w:rsidR="007D07FC" w:rsidRPr="00C86900" w:rsidRDefault="007D07FC" w:rsidP="002356E9">
      <w:pPr>
        <w:ind w:left="567"/>
        <w:rPr>
          <w:lang w:val="ro-RO"/>
        </w:rPr>
      </w:pPr>
      <w:r w:rsidRPr="00C86900">
        <w:rPr>
          <w:lang w:val="ro-RO"/>
        </w:rPr>
        <w:t>Art. 12</w:t>
      </w:r>
    </w:p>
    <w:p w14:paraId="22756D7E" w14:textId="6B5FB84F" w:rsidR="007D07FC" w:rsidRPr="008167F5" w:rsidRDefault="007D07FC" w:rsidP="002356E9">
      <w:pPr>
        <w:ind w:left="567"/>
        <w:rPr>
          <w:lang w:val="ro-RO"/>
        </w:rPr>
      </w:pPr>
      <w:r w:rsidRPr="00C86900">
        <w:rPr>
          <w:lang w:val="ro-RO"/>
        </w:rPr>
        <w:t>(1) Derularea și implementarea prezentei scheme încep după publicarea în Monitorul Oficial a ordinului ministrului transporturilor și infrastructurii pentru aprobarea schemei, ulterior aprobării finanțării acesteia de către Banca Europeană de Investiții, conform prevederilor Ordonanței de urgență a Guvernului nr. 60/2022 privind stabilirea cadrului instituțional și financiar de implementare și gestionare a fondurilor alocate României prin Fondul pentru modernizare, precum și pentru modificarea și completarea unor acte normative, cu modificările ulterioare, și se aplică până la data de 3</w:t>
      </w:r>
      <w:r w:rsidR="005E79B0">
        <w:rPr>
          <w:lang w:val="ro-RO"/>
        </w:rPr>
        <w:t>0.06.</w:t>
      </w:r>
      <w:r w:rsidRPr="00C86900">
        <w:rPr>
          <w:lang w:val="ro-RO"/>
        </w:rPr>
        <w:t>202</w:t>
      </w:r>
      <w:r w:rsidR="005E79B0">
        <w:rPr>
          <w:lang w:val="ro-RO"/>
        </w:rPr>
        <w:t>9</w:t>
      </w:r>
      <w:r w:rsidRPr="00C86900">
        <w:rPr>
          <w:lang w:val="ro-RO"/>
        </w:rPr>
        <w:t>.</w:t>
      </w:r>
    </w:p>
    <w:p w14:paraId="3947B430" w14:textId="62B7FD97" w:rsidR="007D07FC" w:rsidRDefault="007D07FC" w:rsidP="00EB2A9B">
      <w:pPr>
        <w:ind w:left="567"/>
        <w:rPr>
          <w:lang w:val="ro-RO"/>
        </w:rPr>
      </w:pPr>
      <w:r w:rsidRPr="008167F5">
        <w:rPr>
          <w:lang w:val="ro-RO"/>
        </w:rPr>
        <w:t xml:space="preserve">(2) </w:t>
      </w:r>
      <w:r w:rsidR="00EB2A9B" w:rsidRPr="00EB2A9B">
        <w:rPr>
          <w:lang w:val="ro-RO"/>
        </w:rPr>
        <w:t>Plata ajutoarelor de stat se poate realiza până la data de 31.12.20</w:t>
      </w:r>
      <w:r w:rsidR="00EB2A9B">
        <w:rPr>
          <w:lang w:val="ro-RO"/>
        </w:rPr>
        <w:t>29.</w:t>
      </w:r>
    </w:p>
    <w:p w14:paraId="2D7CC946" w14:textId="77777777" w:rsidR="007D07FC" w:rsidRDefault="007D07FC" w:rsidP="002356E9">
      <w:pPr>
        <w:ind w:left="0"/>
        <w:rPr>
          <w:lang w:val="ro-RO"/>
        </w:rPr>
      </w:pPr>
    </w:p>
    <w:p w14:paraId="27425BF9" w14:textId="533EEE2E" w:rsidR="007D07FC" w:rsidRDefault="007D07FC" w:rsidP="002356E9">
      <w:pPr>
        <w:ind w:left="567"/>
        <w:rPr>
          <w:lang w:val="ro-RO"/>
        </w:rPr>
      </w:pPr>
      <w:r w:rsidRPr="008167F5">
        <w:rPr>
          <w:lang w:val="ro-RO"/>
        </w:rPr>
        <w:t xml:space="preserve">Capitolul </w:t>
      </w:r>
      <w:r w:rsidR="00C76561">
        <w:rPr>
          <w:lang w:val="ro-RO"/>
        </w:rPr>
        <w:t>I</w:t>
      </w:r>
      <w:r w:rsidRPr="008167F5">
        <w:rPr>
          <w:lang w:val="ro-RO"/>
        </w:rPr>
        <w:t>X Bugetul schemei și numărul estimat de beneficiari</w:t>
      </w:r>
    </w:p>
    <w:p w14:paraId="37CF1542" w14:textId="77777777" w:rsidR="007D07FC" w:rsidRPr="008167F5" w:rsidRDefault="007D07FC" w:rsidP="002356E9">
      <w:pPr>
        <w:ind w:left="567"/>
        <w:rPr>
          <w:lang w:val="ro-RO"/>
        </w:rPr>
      </w:pPr>
    </w:p>
    <w:p w14:paraId="1E6F487D" w14:textId="77777777" w:rsidR="007D07FC" w:rsidRPr="008167F5" w:rsidRDefault="007D07FC" w:rsidP="002356E9">
      <w:pPr>
        <w:ind w:left="567"/>
        <w:rPr>
          <w:lang w:val="ro-RO"/>
        </w:rPr>
      </w:pPr>
      <w:r w:rsidRPr="008167F5">
        <w:rPr>
          <w:lang w:val="ro-RO"/>
        </w:rPr>
        <w:t>Art</w:t>
      </w:r>
      <w:r>
        <w:rPr>
          <w:lang w:val="ro-RO"/>
        </w:rPr>
        <w:t>.</w:t>
      </w:r>
      <w:r w:rsidRPr="008167F5">
        <w:rPr>
          <w:lang w:val="ro-RO"/>
        </w:rPr>
        <w:t xml:space="preserve"> 1</w:t>
      </w:r>
      <w:r>
        <w:rPr>
          <w:lang w:val="ro-RO"/>
        </w:rPr>
        <w:t>3</w:t>
      </w:r>
    </w:p>
    <w:p w14:paraId="2E3CB023" w14:textId="69B6237D" w:rsidR="007D07FC" w:rsidRPr="008167F5" w:rsidRDefault="007D07FC" w:rsidP="002356E9">
      <w:pPr>
        <w:ind w:left="567"/>
        <w:rPr>
          <w:lang w:val="ro-RO"/>
        </w:rPr>
      </w:pPr>
      <w:r w:rsidRPr="008167F5">
        <w:rPr>
          <w:lang w:val="ro-RO"/>
        </w:rPr>
        <w:t xml:space="preserve">(1) </w:t>
      </w:r>
      <w:r w:rsidR="00EB2A9B" w:rsidRPr="00EB2A9B">
        <w:rPr>
          <w:lang w:val="ro-RO"/>
        </w:rPr>
        <w:t xml:space="preserve">Bugetul alocat schemei este echivalentul în lei </w:t>
      </w:r>
      <w:r w:rsidR="00C813F3" w:rsidRPr="009D62EF">
        <w:rPr>
          <w:lang w:val="ro-RO"/>
        </w:rPr>
        <w:t xml:space="preserve">la cursul </w:t>
      </w:r>
      <w:proofErr w:type="spellStart"/>
      <w:r w:rsidR="00C813F3" w:rsidRPr="009D62EF">
        <w:rPr>
          <w:lang w:val="ro-RO"/>
        </w:rPr>
        <w:t>InforEuro</w:t>
      </w:r>
      <w:proofErr w:type="spellEnd"/>
      <w:r w:rsidR="00C813F3" w:rsidRPr="009D62EF">
        <w:rPr>
          <w:lang w:val="ro-RO"/>
        </w:rPr>
        <w:t xml:space="preserve"> din luna anterioară deschiderii procedurii de ofertare concurențială</w:t>
      </w:r>
      <w:r w:rsidR="00EB2A9B" w:rsidRPr="00EB2A9B">
        <w:rPr>
          <w:lang w:val="ro-RO"/>
        </w:rPr>
        <w:t xml:space="preserve">, al sumei de </w:t>
      </w:r>
      <w:r w:rsidR="00EB2A9B">
        <w:rPr>
          <w:lang w:val="ro-RO"/>
        </w:rPr>
        <w:t>300</w:t>
      </w:r>
      <w:r w:rsidR="00EB2A9B" w:rsidRPr="00EB2A9B">
        <w:rPr>
          <w:lang w:val="ro-RO"/>
        </w:rPr>
        <w:t xml:space="preserve">.000.000 euro și reprezintă sume nerambursabile din </w:t>
      </w:r>
      <w:r w:rsidR="00EB2A9B" w:rsidRPr="00EB2A9B">
        <w:rPr>
          <w:i/>
          <w:iCs/>
          <w:lang w:val="ro-RO"/>
        </w:rPr>
        <w:t>Fondul pentru modernizare si va fi alocat de către Furnizor în cadrul mai multor proceduri de ofertare concurențiale succesive până la epuizarea bugetului</w:t>
      </w:r>
      <w:r w:rsidR="00EB2A9B" w:rsidRPr="00EB2A9B">
        <w:rPr>
          <w:lang w:val="ro-RO"/>
        </w:rPr>
        <w:t xml:space="preserve">. </w:t>
      </w:r>
    </w:p>
    <w:p w14:paraId="693E088D" w14:textId="77777777" w:rsidR="007D07FC" w:rsidRPr="008167F5" w:rsidRDefault="007D07FC" w:rsidP="002356E9">
      <w:pPr>
        <w:ind w:left="567"/>
        <w:rPr>
          <w:lang w:val="ro-RO"/>
        </w:rPr>
      </w:pPr>
      <w:r w:rsidRPr="008167F5">
        <w:rPr>
          <w:lang w:val="ro-RO"/>
        </w:rPr>
        <w:t xml:space="preserve">(2) Bugetul schemei reflectă sumele alocate, prin Fondul pentru modernizare, „Programului-cheie </w:t>
      </w:r>
      <w:r>
        <w:rPr>
          <w:lang w:val="ro-RO"/>
        </w:rPr>
        <w:t>9</w:t>
      </w:r>
      <w:r w:rsidRPr="008167F5">
        <w:rPr>
          <w:lang w:val="ro-RO"/>
        </w:rPr>
        <w:t xml:space="preserve">“ </w:t>
      </w:r>
      <w:r w:rsidRPr="00C06F01">
        <w:rPr>
          <w:i/>
          <w:iCs/>
          <w:lang w:val="ro-RO"/>
        </w:rPr>
        <w:t>: Eficiență energetică în transporturi - reducerea emisiilor de CO2 prin eficiență energetică și noi tehnologii în transporturi</w:t>
      </w:r>
    </w:p>
    <w:p w14:paraId="0BDB0143" w14:textId="77777777" w:rsidR="007D07FC" w:rsidRPr="008167F5" w:rsidRDefault="007D07FC" w:rsidP="002356E9">
      <w:pPr>
        <w:ind w:left="567"/>
        <w:rPr>
          <w:lang w:val="ro-RO"/>
        </w:rPr>
      </w:pPr>
      <w:r w:rsidRPr="008167F5">
        <w:rPr>
          <w:lang w:val="ro-RO"/>
        </w:rPr>
        <w:t>(3) Alocarea bugetară și operațiunile financiare derulate în vederea utilizării fondurilor prevăzute la alin. (1) se fac în conformitate cu prevederile cadrului legal aplicabil pentru gestionarea Fondului pentru modernizare în România.</w:t>
      </w:r>
    </w:p>
    <w:p w14:paraId="2A2A6CA1" w14:textId="7C7C41AC" w:rsidR="007D07FC" w:rsidRPr="003C0906" w:rsidRDefault="007D07FC" w:rsidP="008954C6">
      <w:pPr>
        <w:ind w:left="567"/>
        <w:rPr>
          <w:lang w:val="ro-RO"/>
        </w:rPr>
      </w:pPr>
      <w:r w:rsidRPr="008167F5">
        <w:rPr>
          <w:lang w:val="ro-RO"/>
        </w:rPr>
        <w:t xml:space="preserve">(4) Bugetul mediu anual al schemei nu va depăși </w:t>
      </w:r>
      <w:r w:rsidR="00EB2A9B">
        <w:rPr>
          <w:lang w:val="ro-RO"/>
        </w:rPr>
        <w:t>1</w:t>
      </w:r>
      <w:r w:rsidR="003C0906">
        <w:rPr>
          <w:lang w:val="ro-RO"/>
        </w:rPr>
        <w:t>20</w:t>
      </w:r>
      <w:r w:rsidRPr="008167F5">
        <w:rPr>
          <w:lang w:val="ro-RO"/>
        </w:rPr>
        <w:t>.000.000 euro, în cadrul fiecărei proceduri de ofertare concurențială fiind stabilit bugetul afectat procedurii concurențiale respective.</w:t>
      </w:r>
    </w:p>
    <w:p w14:paraId="38962877" w14:textId="77777777" w:rsidR="007D07FC" w:rsidRPr="005606E6" w:rsidRDefault="007D07FC" w:rsidP="002356E9">
      <w:pPr>
        <w:ind w:left="567"/>
        <w:rPr>
          <w:lang w:val="ro-RO"/>
        </w:rPr>
      </w:pPr>
      <w:r w:rsidRPr="005606E6">
        <w:rPr>
          <w:lang w:val="ro-RO"/>
        </w:rPr>
        <w:t>Art. 14</w:t>
      </w:r>
    </w:p>
    <w:p w14:paraId="25AAB30E" w14:textId="45F061AA" w:rsidR="007D07FC" w:rsidRPr="005606E6" w:rsidRDefault="007D07FC" w:rsidP="008954C6">
      <w:pPr>
        <w:ind w:left="567"/>
        <w:rPr>
          <w:strike/>
          <w:lang w:val="ro-RO"/>
        </w:rPr>
      </w:pPr>
      <w:r w:rsidRPr="005606E6">
        <w:rPr>
          <w:lang w:val="ro-RO"/>
        </w:rPr>
        <w:t xml:space="preserve">Din perspectiva bugetului alocat, numărul minim estimat de beneficiari de ajutor de stat în cadrul prezentei scheme bazate pe procedură de ofertare concurențială este de aproximativ </w:t>
      </w:r>
      <w:r w:rsidR="00064F42" w:rsidRPr="005606E6">
        <w:rPr>
          <w:lang w:val="ro-RO"/>
        </w:rPr>
        <w:t>20</w:t>
      </w:r>
      <w:r w:rsidRPr="005606E6">
        <w:rPr>
          <w:lang w:val="ro-RO"/>
        </w:rPr>
        <w:t xml:space="preserve">. </w:t>
      </w:r>
    </w:p>
    <w:p w14:paraId="73BE9718" w14:textId="77777777" w:rsidR="00F36AB5" w:rsidRDefault="00F36AB5" w:rsidP="002356E9">
      <w:pPr>
        <w:ind w:left="567"/>
        <w:rPr>
          <w:lang w:val="it-IT"/>
        </w:rPr>
      </w:pPr>
    </w:p>
    <w:p w14:paraId="20A3F5BB" w14:textId="0DF46475" w:rsidR="007D07FC" w:rsidRPr="00C26B52" w:rsidRDefault="007D07FC" w:rsidP="002356E9">
      <w:pPr>
        <w:ind w:left="567"/>
        <w:rPr>
          <w:lang w:val="it-IT"/>
        </w:rPr>
      </w:pPr>
      <w:r w:rsidRPr="00C26B52">
        <w:rPr>
          <w:lang w:val="it-IT"/>
        </w:rPr>
        <w:t>Capitolul X Modalitatea de acordare a ajutorului de stat</w:t>
      </w:r>
    </w:p>
    <w:p w14:paraId="4D16D203" w14:textId="77777777" w:rsidR="007D07FC" w:rsidRPr="00C26B52" w:rsidRDefault="007D07FC" w:rsidP="002356E9">
      <w:pPr>
        <w:ind w:left="567"/>
        <w:rPr>
          <w:lang w:val="it-IT"/>
        </w:rPr>
      </w:pPr>
      <w:r w:rsidRPr="00C26B52">
        <w:rPr>
          <w:lang w:val="it-IT"/>
        </w:rPr>
        <w:t>Art</w:t>
      </w:r>
      <w:r>
        <w:rPr>
          <w:lang w:val="it-IT"/>
        </w:rPr>
        <w:t>.</w:t>
      </w:r>
      <w:r w:rsidRPr="00C26B52">
        <w:rPr>
          <w:lang w:val="it-IT"/>
        </w:rPr>
        <w:t xml:space="preserve"> 1</w:t>
      </w:r>
      <w:r>
        <w:rPr>
          <w:lang w:val="it-IT"/>
        </w:rPr>
        <w:t>5</w:t>
      </w:r>
    </w:p>
    <w:p w14:paraId="7F839713" w14:textId="3DDB3DD1" w:rsidR="007D07FC" w:rsidRDefault="007D07FC" w:rsidP="002356E9">
      <w:pPr>
        <w:ind w:left="567"/>
        <w:rPr>
          <w:lang w:val="it-IT"/>
        </w:rPr>
      </w:pPr>
      <w:r w:rsidRPr="00C26B52">
        <w:rPr>
          <w:lang w:val="it-IT"/>
        </w:rPr>
        <w:t>Măsurile de sprijin acordate beneficiarilor pentru realizarea de investiții const</w:t>
      </w:r>
      <w:r>
        <w:rPr>
          <w:lang w:val="it-IT"/>
        </w:rPr>
        <w:t>au</w:t>
      </w:r>
      <w:r w:rsidRPr="00C26B52">
        <w:rPr>
          <w:lang w:val="it-IT"/>
        </w:rPr>
        <w:t xml:space="preserve"> în acordarea de granturi din Fondul pentru modernizare.</w:t>
      </w:r>
    </w:p>
    <w:p w14:paraId="7647B9DF" w14:textId="77777777" w:rsidR="007D07FC" w:rsidRDefault="007D07FC" w:rsidP="002356E9">
      <w:pPr>
        <w:ind w:left="567"/>
        <w:rPr>
          <w:lang w:val="it-IT"/>
        </w:rPr>
      </w:pPr>
    </w:p>
    <w:p w14:paraId="38B29786" w14:textId="422847D6" w:rsidR="007D07FC" w:rsidRPr="00C26B52" w:rsidRDefault="007D07FC" w:rsidP="002356E9">
      <w:pPr>
        <w:ind w:left="567"/>
        <w:rPr>
          <w:lang w:val="it-IT"/>
        </w:rPr>
      </w:pPr>
      <w:r w:rsidRPr="00C26B52">
        <w:rPr>
          <w:lang w:val="it-IT"/>
        </w:rPr>
        <w:t>Capitolul XI Valoarea maximă a finanțării nerambursabile (intensitatea ajutorului de stat)</w:t>
      </w:r>
    </w:p>
    <w:p w14:paraId="366BBEBB" w14:textId="77777777" w:rsidR="007D07FC" w:rsidRPr="00C26B52" w:rsidRDefault="007D07FC" w:rsidP="002356E9">
      <w:pPr>
        <w:ind w:left="567"/>
        <w:rPr>
          <w:lang w:val="it-IT"/>
        </w:rPr>
      </w:pPr>
      <w:r w:rsidRPr="00C26B52">
        <w:rPr>
          <w:lang w:val="it-IT"/>
        </w:rPr>
        <w:t>Art</w:t>
      </w:r>
      <w:r>
        <w:rPr>
          <w:lang w:val="it-IT"/>
        </w:rPr>
        <w:t>.</w:t>
      </w:r>
      <w:r w:rsidRPr="00C26B52">
        <w:rPr>
          <w:lang w:val="it-IT"/>
        </w:rPr>
        <w:t xml:space="preserve"> 1</w:t>
      </w:r>
      <w:r>
        <w:rPr>
          <w:lang w:val="it-IT"/>
        </w:rPr>
        <w:t>6</w:t>
      </w:r>
    </w:p>
    <w:p w14:paraId="5E80D79C" w14:textId="6AC14B4D" w:rsidR="007D07FC" w:rsidRPr="00C26B52" w:rsidRDefault="007D07FC" w:rsidP="002356E9">
      <w:pPr>
        <w:ind w:left="567"/>
        <w:rPr>
          <w:lang w:val="it-IT"/>
        </w:rPr>
      </w:pPr>
      <w:r w:rsidRPr="00C26B52">
        <w:rPr>
          <w:lang w:val="it-IT"/>
        </w:rPr>
        <w:t>(1)</w:t>
      </w:r>
      <w:r w:rsidR="00C36CA6">
        <w:rPr>
          <w:lang w:val="it-IT"/>
        </w:rPr>
        <w:tab/>
      </w:r>
      <w:r w:rsidRPr="00C26B52">
        <w:rPr>
          <w:lang w:val="it-IT"/>
        </w:rPr>
        <w:t xml:space="preserve">Valoarea ajutorului de stat solicitat nu poate depăși </w:t>
      </w:r>
      <w:r w:rsidR="00C36CA6">
        <w:rPr>
          <w:lang w:val="it-IT"/>
        </w:rPr>
        <w:t>15</w:t>
      </w:r>
      <w:r w:rsidRPr="00C26B52">
        <w:rPr>
          <w:lang w:val="it-IT"/>
        </w:rPr>
        <w:t>.000.000 euro pe beneficiar.</w:t>
      </w:r>
    </w:p>
    <w:p w14:paraId="0FDC670C" w14:textId="269E5138" w:rsidR="007D07FC" w:rsidRPr="00C26B52" w:rsidRDefault="007D07FC" w:rsidP="00A006AD">
      <w:pPr>
        <w:ind w:left="567"/>
        <w:rPr>
          <w:lang w:val="it-IT"/>
        </w:rPr>
      </w:pPr>
      <w:r w:rsidRPr="00A006AD">
        <w:rPr>
          <w:lang w:val="it-IT"/>
        </w:rPr>
        <w:t xml:space="preserve">(2) </w:t>
      </w:r>
      <w:r w:rsidR="00C36CA6" w:rsidRPr="00A006AD">
        <w:rPr>
          <w:lang w:val="it-IT"/>
        </w:rPr>
        <w:tab/>
      </w:r>
      <w:r w:rsidR="00A006AD" w:rsidRPr="00A006AD">
        <w:rPr>
          <w:lang w:val="it-IT"/>
        </w:rPr>
        <w:t xml:space="preserve">Pentru </w:t>
      </w:r>
      <w:r w:rsidR="00A006AD" w:rsidRPr="00A006AD">
        <w:rPr>
          <w:b/>
          <w:bCs/>
          <w:lang w:val="it-IT"/>
        </w:rPr>
        <w:t>submăsura 1</w:t>
      </w:r>
      <w:r w:rsidR="00A006AD" w:rsidRPr="00A006AD">
        <w:rPr>
          <w:lang w:val="it-IT"/>
        </w:rPr>
        <w:t xml:space="preserve"> intensitatea maximă a ajutorului de stat este de 100% din costurile eligibile pentru achiziţionarea vehicule</w:t>
      </w:r>
      <w:r w:rsidR="00A006AD">
        <w:rPr>
          <w:lang w:val="it-IT"/>
        </w:rPr>
        <w:t>lor</w:t>
      </w:r>
      <w:r w:rsidR="00A006AD" w:rsidRPr="00A006AD">
        <w:rPr>
          <w:lang w:val="it-IT"/>
        </w:rPr>
        <w:t xml:space="preserve"> astfel încât să se califice ca vehicule cu emisii zero</w:t>
      </w:r>
      <w:r w:rsidR="00A006AD">
        <w:rPr>
          <w:lang w:val="it-IT"/>
        </w:rPr>
        <w:t xml:space="preserve">, iar pentru </w:t>
      </w:r>
      <w:r w:rsidR="00A006AD" w:rsidRPr="00A006AD">
        <w:rPr>
          <w:b/>
          <w:bCs/>
          <w:lang w:val="it-IT"/>
        </w:rPr>
        <w:t>submăsura 2</w:t>
      </w:r>
      <w:r w:rsidR="00A006AD">
        <w:rPr>
          <w:lang w:val="it-IT"/>
        </w:rPr>
        <w:t xml:space="preserve"> i</w:t>
      </w:r>
      <w:r w:rsidRPr="00C26B52">
        <w:rPr>
          <w:lang w:val="it-IT"/>
        </w:rPr>
        <w:t xml:space="preserve">ntensitatea maximă a ajutorului de stat acordat prin prezenta schemă este de </w:t>
      </w:r>
      <w:r>
        <w:rPr>
          <w:lang w:val="it-IT"/>
        </w:rPr>
        <w:t>maxim</w:t>
      </w:r>
      <w:r w:rsidR="00C36CA6">
        <w:rPr>
          <w:lang w:val="it-IT"/>
        </w:rPr>
        <w:t xml:space="preserve"> 80% </w:t>
      </w:r>
      <w:r w:rsidR="00C36CA6" w:rsidRPr="00C26B52">
        <w:rPr>
          <w:lang w:val="it-IT"/>
        </w:rPr>
        <w:t>din cheltuielile eligibile</w:t>
      </w:r>
      <w:r w:rsidR="00C36CA6" w:rsidRPr="00C36CA6">
        <w:rPr>
          <w:lang w:val="it-IT"/>
        </w:rPr>
        <w:t xml:space="preserve"> pentru modernizarea vehiculelor astfel încât să se califice ca vehicule nepoluante</w:t>
      </w:r>
      <w:r w:rsidR="00C36CA6">
        <w:rPr>
          <w:lang w:val="it-IT"/>
        </w:rPr>
        <w:t xml:space="preserve"> și </w:t>
      </w:r>
      <w:r w:rsidRPr="00C26B52">
        <w:rPr>
          <w:lang w:val="it-IT"/>
        </w:rPr>
        <w:t>100% din cheltuielile eligibile</w:t>
      </w:r>
      <w:r w:rsidR="00C36CA6">
        <w:rPr>
          <w:lang w:val="it-IT"/>
        </w:rPr>
        <w:t xml:space="preserve"> </w:t>
      </w:r>
      <w:r w:rsidR="00C36CA6" w:rsidRPr="00C36CA6">
        <w:rPr>
          <w:lang w:val="it-IT"/>
        </w:rPr>
        <w:t>pentru modernizarea vehiculelor astfel încât să se califice ca vehicule cu emisii zero</w:t>
      </w:r>
      <w:r w:rsidR="00C36CA6">
        <w:rPr>
          <w:lang w:val="it-IT"/>
        </w:rPr>
        <w:t>,</w:t>
      </w:r>
      <w:r w:rsidR="00C36CA6" w:rsidRPr="00C36CA6">
        <w:rPr>
          <w:lang w:val="it-IT"/>
        </w:rPr>
        <w:t xml:space="preserve"> </w:t>
      </w:r>
      <w:r w:rsidRPr="00C26B52">
        <w:rPr>
          <w:lang w:val="it-IT"/>
        </w:rPr>
        <w:t>fiind bazată pe o procedură de ofertare concurențială care, pe lângă criteriile obiective prevăzute</w:t>
      </w:r>
      <w:r>
        <w:rPr>
          <w:lang w:val="it-IT"/>
        </w:rPr>
        <w:t xml:space="preserve">, </w:t>
      </w:r>
      <w:r w:rsidRPr="00C26B52">
        <w:rPr>
          <w:lang w:val="it-IT"/>
        </w:rPr>
        <w:t>îndeplinește și toate condițiile următoare:</w:t>
      </w:r>
    </w:p>
    <w:p w14:paraId="1569F601" w14:textId="77777777" w:rsidR="007D07FC" w:rsidRPr="00C26B52" w:rsidRDefault="007D07FC" w:rsidP="002356E9">
      <w:pPr>
        <w:ind w:left="567"/>
        <w:rPr>
          <w:lang w:val="it-IT"/>
        </w:rPr>
      </w:pPr>
      <w:r w:rsidRPr="00C26B52">
        <w:rPr>
          <w:lang w:val="it-IT"/>
        </w:rPr>
        <w:t>a) ajutorul se acordă pe baza unor criterii de selecție și de eligibilitate obiective, clare, transparente și nediscriminatorii, definite ex ante și publicate cu cel puțin șase săptămâni înainte de termenul de depunere a solicitărilor de sprijin, pentru a permite o concurență efectivă;</w:t>
      </w:r>
    </w:p>
    <w:p w14:paraId="1D0F3226" w14:textId="77777777" w:rsidR="007D07FC" w:rsidRPr="00C26B52" w:rsidRDefault="007D07FC" w:rsidP="002356E9">
      <w:pPr>
        <w:ind w:left="567"/>
        <w:rPr>
          <w:lang w:val="it-IT"/>
        </w:rPr>
      </w:pPr>
      <w:r w:rsidRPr="00C26B52">
        <w:rPr>
          <w:lang w:val="it-IT"/>
        </w:rPr>
        <w:t>b) în timpul punerii în aplicare a scheme</w:t>
      </w:r>
      <w:r>
        <w:rPr>
          <w:lang w:val="it-IT"/>
        </w:rPr>
        <w:t>i</w:t>
      </w:r>
      <w:r w:rsidRPr="00C26B52">
        <w:rPr>
          <w:lang w:val="it-IT"/>
        </w:rPr>
        <w:t>, în cazul unei proceduri de ofertare în care toți solicitanții primesc ajutor, modul în care este concepută procedura respectivă trebuie corectat pentru a restabili concurența efectivă în cadrul sesiunilor de depunere ulterioare, de exemplu, prin reducerea bugetului;</w:t>
      </w:r>
    </w:p>
    <w:p w14:paraId="6B038E9B" w14:textId="77777777" w:rsidR="007D07FC" w:rsidRPr="00C26B52" w:rsidRDefault="007D07FC" w:rsidP="002356E9">
      <w:pPr>
        <w:ind w:left="567"/>
        <w:rPr>
          <w:lang w:val="it-IT"/>
        </w:rPr>
      </w:pPr>
      <w:r w:rsidRPr="00C26B52">
        <w:rPr>
          <w:lang w:val="it-IT"/>
        </w:rPr>
        <w:t>c) sunt excluse ajustările ex post ale rezultatului sesiunii de depunere (cum ar fi negocierile ulterioare privind rezultatele solicitărilor sau raționalizarea);</w:t>
      </w:r>
    </w:p>
    <w:p w14:paraId="0282AFFF" w14:textId="2052AC0A" w:rsidR="007D07FC" w:rsidRPr="00D16DFB" w:rsidRDefault="007D07FC" w:rsidP="002356E9">
      <w:pPr>
        <w:ind w:left="567"/>
        <w:rPr>
          <w:lang w:val="it-IT"/>
        </w:rPr>
      </w:pPr>
      <w:r w:rsidRPr="00D16DFB">
        <w:rPr>
          <w:lang w:val="it-IT"/>
        </w:rPr>
        <w:t xml:space="preserve">d) </w:t>
      </w:r>
      <w:r w:rsidR="00D16DFB" w:rsidRPr="00D16DFB">
        <w:rPr>
          <w:lang w:val="it-IT"/>
        </w:rPr>
        <w:t>9</w:t>
      </w:r>
      <w:r w:rsidRPr="00D16DFB">
        <w:rPr>
          <w:lang w:val="it-IT"/>
        </w:rPr>
        <w:t>0% din totalul criteriilor de selecție utilizate pentru clasificarea solicitărilor și, în cele din urmă, pentru alocarea ajutorului în cadrul sesiunii concurențiale</w:t>
      </w:r>
      <w:r w:rsidR="00D16DFB">
        <w:rPr>
          <w:lang w:val="it-IT"/>
        </w:rPr>
        <w:t xml:space="preserve"> aferente ambelor submăsuri</w:t>
      </w:r>
      <w:r w:rsidRPr="00D16DFB">
        <w:rPr>
          <w:lang w:val="it-IT"/>
        </w:rPr>
        <w:t xml:space="preserve"> se definesc în termeni de ajutor pe </w:t>
      </w:r>
      <w:r w:rsidR="00D16DFB" w:rsidRPr="00D16DFB">
        <w:rPr>
          <w:lang w:val="it-IT"/>
        </w:rPr>
        <w:t>gCO</w:t>
      </w:r>
      <w:r w:rsidR="00D16DFB" w:rsidRPr="00D16DFB">
        <w:rPr>
          <w:vertAlign w:val="subscript"/>
          <w:lang w:val="it-IT"/>
        </w:rPr>
        <w:t>2</w:t>
      </w:r>
      <w:r w:rsidR="00D16DFB" w:rsidRPr="00D16DFB">
        <w:rPr>
          <w:lang w:val="it-IT"/>
        </w:rPr>
        <w:t xml:space="preserve"> economisit, calculat în funcție de performanța de transport (t</w:t>
      </w:r>
      <w:r w:rsidR="00C76561">
        <w:rPr>
          <w:lang w:val="it-IT"/>
        </w:rPr>
        <w:t xml:space="preserve">one pe </w:t>
      </w:r>
      <w:r w:rsidR="00D16DFB" w:rsidRPr="00D16DFB">
        <w:rPr>
          <w:lang w:val="it-IT"/>
        </w:rPr>
        <w:t>km</w:t>
      </w:r>
      <w:r w:rsidR="00323A31">
        <w:rPr>
          <w:lang w:val="it-IT"/>
        </w:rPr>
        <w:t xml:space="preserve"> sau p</w:t>
      </w:r>
      <w:r w:rsidR="00C76561">
        <w:rPr>
          <w:lang w:val="it-IT"/>
        </w:rPr>
        <w:t xml:space="preserve">asager pe </w:t>
      </w:r>
      <w:r w:rsidR="00323A31">
        <w:rPr>
          <w:lang w:val="it-IT"/>
        </w:rPr>
        <w:t>km</w:t>
      </w:r>
      <w:r w:rsidR="00D16DFB" w:rsidRPr="00D16DFB">
        <w:rPr>
          <w:lang w:val="it-IT"/>
        </w:rPr>
        <w:t>)</w:t>
      </w:r>
      <w:r w:rsidRPr="00D16DFB">
        <w:rPr>
          <w:lang w:val="it-IT"/>
        </w:rPr>
        <w:t>.</w:t>
      </w:r>
    </w:p>
    <w:p w14:paraId="0FDB560F" w14:textId="40084C0D" w:rsidR="007D07FC" w:rsidRDefault="00184660" w:rsidP="002356E9">
      <w:pPr>
        <w:ind w:left="567"/>
        <w:rPr>
          <w:lang w:val="ro-RO"/>
        </w:rPr>
      </w:pPr>
      <w:r>
        <w:rPr>
          <w:lang w:val="it-IT"/>
        </w:rPr>
        <w:t>e</w:t>
      </w:r>
      <w:r w:rsidR="007D07FC" w:rsidRPr="00D16DFB">
        <w:rPr>
          <w:lang w:val="it-IT"/>
        </w:rPr>
        <w:t xml:space="preserve">) </w:t>
      </w:r>
      <w:r w:rsidR="00D16DFB" w:rsidRPr="00D16DFB">
        <w:rPr>
          <w:lang w:val="it-IT"/>
        </w:rPr>
        <w:t>10</w:t>
      </w:r>
      <w:r w:rsidR="007D07FC" w:rsidRPr="00D16DFB">
        <w:rPr>
          <w:lang w:val="it-IT"/>
        </w:rPr>
        <w:t xml:space="preserve">% din totalul criteriilor de selecție utilizate pentru clasificarea solicitărilor și, în cele din urmă, pentru alocarea ajutorului în cadrul sesiunii concurențiale </w:t>
      </w:r>
      <w:r w:rsidR="00D16DFB">
        <w:rPr>
          <w:lang w:val="it-IT"/>
        </w:rPr>
        <w:t>aferente ambelor submăsuri</w:t>
      </w:r>
      <w:r w:rsidR="00D16DFB" w:rsidRPr="00D16DFB">
        <w:rPr>
          <w:lang w:val="it-IT"/>
        </w:rPr>
        <w:t xml:space="preserve"> </w:t>
      </w:r>
      <w:r w:rsidR="007D07FC" w:rsidRPr="00D16DFB">
        <w:rPr>
          <w:lang w:val="it-IT"/>
        </w:rPr>
        <w:t xml:space="preserve">se definesc </w:t>
      </w:r>
      <w:r w:rsidR="007D07FC" w:rsidRPr="00D16DFB">
        <w:rPr>
          <w:lang w:val="ro-RO"/>
        </w:rPr>
        <w:t xml:space="preserve">pentru </w:t>
      </w:r>
      <w:r w:rsidR="00D16DFB" w:rsidRPr="00D16DFB">
        <w:rPr>
          <w:lang w:val="ro-RO"/>
        </w:rPr>
        <w:t>utilizarea energiei regenerabile pentru încărcarea vehiculelor</w:t>
      </w:r>
      <w:r w:rsidR="007D07FC" w:rsidRPr="00D16DFB">
        <w:rPr>
          <w:lang w:val="ro-RO"/>
        </w:rPr>
        <w:t>.</w:t>
      </w:r>
    </w:p>
    <w:p w14:paraId="35776921" w14:textId="7CE726B5" w:rsidR="00C36CA6" w:rsidRDefault="00C36CA6" w:rsidP="00C36CA6">
      <w:pPr>
        <w:ind w:left="567"/>
        <w:rPr>
          <w:lang w:val="ro-RO"/>
        </w:rPr>
      </w:pPr>
      <w:r>
        <w:rPr>
          <w:lang w:val="ro-RO"/>
        </w:rPr>
        <w:t xml:space="preserve">f) </w:t>
      </w:r>
      <w:r w:rsidRPr="00C36CA6">
        <w:rPr>
          <w:lang w:val="ro-RO"/>
        </w:rPr>
        <w:t xml:space="preserve">punctajul general obținut în conformitate </w:t>
      </w:r>
      <w:proofErr w:type="spellStart"/>
      <w:r>
        <w:rPr>
          <w:lang w:val="ro-RO"/>
        </w:rPr>
        <w:t>lit.</w:t>
      </w:r>
      <w:r w:rsidR="00D16DFB">
        <w:rPr>
          <w:lang w:val="ro-RO"/>
        </w:rPr>
        <w:t>d</w:t>
      </w:r>
      <w:proofErr w:type="spellEnd"/>
      <w:r w:rsidR="00D16DFB">
        <w:rPr>
          <w:lang w:val="ro-RO"/>
        </w:rPr>
        <w:t>) și e</w:t>
      </w:r>
      <w:r w:rsidR="00D16DFB" w:rsidRPr="00D16DFB">
        <w:rPr>
          <w:lang w:val="ro-RO"/>
        </w:rPr>
        <w:t>)</w:t>
      </w:r>
      <w:r w:rsidRPr="00D16DFB">
        <w:rPr>
          <w:lang w:val="ro-RO"/>
        </w:rPr>
        <w:t xml:space="preserve"> la schema de ajutor de stat  va duce la ordonarea descrescătoare a aplicaților în cadrul acestei scheme.</w:t>
      </w:r>
    </w:p>
    <w:p w14:paraId="35D2A332" w14:textId="77777777" w:rsidR="00F669B7" w:rsidRPr="00C36CA6" w:rsidRDefault="00F669B7" w:rsidP="00F669B7">
      <w:pPr>
        <w:ind w:left="567"/>
        <w:rPr>
          <w:lang w:val="ro-RO"/>
        </w:rPr>
      </w:pPr>
      <w:r>
        <w:rPr>
          <w:lang w:val="ro-RO"/>
        </w:rPr>
        <w:t xml:space="preserve">În eventualitatea cazului </w:t>
      </w:r>
      <w:r w:rsidR="00C36CA6" w:rsidRPr="00C36CA6">
        <w:rPr>
          <w:lang w:val="ro-RO"/>
        </w:rPr>
        <w:t xml:space="preserve">de egalitate, se va lua în considerare </w:t>
      </w:r>
      <w:r w:rsidRPr="00C36CA6">
        <w:rPr>
          <w:lang w:val="ro-RO"/>
        </w:rPr>
        <w:t xml:space="preserve">recipisa de înscriere, astfel încât va avea prioritate proiectul care a fost depus mai întâi. </w:t>
      </w:r>
    </w:p>
    <w:p w14:paraId="517E18B9" w14:textId="736C1B51" w:rsidR="00C36CA6" w:rsidRPr="00C36CA6" w:rsidRDefault="00C36CA6" w:rsidP="00C36CA6">
      <w:pPr>
        <w:ind w:left="567"/>
        <w:rPr>
          <w:lang w:val="ro-RO"/>
        </w:rPr>
      </w:pPr>
      <w:r w:rsidRPr="00C36CA6">
        <w:rPr>
          <w:lang w:val="ro-RO"/>
        </w:rPr>
        <w:t>Proiectele vor fi finanțate până la epuizarea bugetului alocat.</w:t>
      </w:r>
    </w:p>
    <w:p w14:paraId="7FD26307" w14:textId="1277BE0A" w:rsidR="007D07FC" w:rsidRPr="005606E6" w:rsidRDefault="007D07FC" w:rsidP="002356E9">
      <w:pPr>
        <w:ind w:left="567"/>
        <w:rPr>
          <w:lang w:val="ro-RO"/>
        </w:rPr>
      </w:pPr>
      <w:r w:rsidRPr="005606E6">
        <w:rPr>
          <w:lang w:val="ro-RO"/>
        </w:rPr>
        <w:t xml:space="preserve">(3) Criteriile de selecție sunt prezentate în anexa </w:t>
      </w:r>
      <w:r w:rsidR="00184660">
        <w:rPr>
          <w:lang w:val="ro-RO"/>
        </w:rPr>
        <w:t>I a prezentei scheme.</w:t>
      </w:r>
    </w:p>
    <w:p w14:paraId="452DFCDA" w14:textId="77777777" w:rsidR="007D07FC" w:rsidRPr="005606E6" w:rsidRDefault="007D07FC" w:rsidP="002356E9">
      <w:pPr>
        <w:ind w:left="567"/>
        <w:rPr>
          <w:lang w:val="ro-RO"/>
        </w:rPr>
      </w:pPr>
      <w:r w:rsidRPr="005606E6">
        <w:rPr>
          <w:lang w:val="ro-RO"/>
        </w:rPr>
        <w:t>Art. 17</w:t>
      </w:r>
    </w:p>
    <w:p w14:paraId="2DC75589" w14:textId="5F42BC24" w:rsidR="002356E9" w:rsidRPr="005606E6" w:rsidRDefault="007D07FC" w:rsidP="002356E9">
      <w:pPr>
        <w:ind w:left="567"/>
        <w:rPr>
          <w:lang w:val="ro-RO"/>
        </w:rPr>
      </w:pPr>
      <w:r w:rsidRPr="005606E6">
        <w:rPr>
          <w:lang w:val="ro-RO"/>
        </w:rPr>
        <w:t>Diferența până la valoarea totală a proiectului se acoperă de către beneficiar. Acesta trebuie să aducă o contribuție financiară pentru diferența până la totalul costurilor eligibile, fie din resurse proprii, fie din surse atrase, sub o formă care să nu facă obiectul niciunui ajutor public.</w:t>
      </w:r>
    </w:p>
    <w:p w14:paraId="6C471D90" w14:textId="77777777" w:rsidR="007D07FC" w:rsidRPr="00966EE5" w:rsidRDefault="007D07FC" w:rsidP="002356E9">
      <w:pPr>
        <w:ind w:left="567"/>
        <w:rPr>
          <w:lang w:val="it-IT"/>
        </w:rPr>
      </w:pPr>
      <w:r w:rsidRPr="005E12CE">
        <w:rPr>
          <w:lang w:val="it-IT"/>
        </w:rPr>
        <w:t>Cheltuielile neeligibile vor fi suportate integral de către beneficiar.</w:t>
      </w:r>
    </w:p>
    <w:p w14:paraId="0388CAAC" w14:textId="77777777" w:rsidR="007D07FC" w:rsidRPr="002356E9" w:rsidRDefault="007D07FC" w:rsidP="002356E9">
      <w:pPr>
        <w:ind w:left="0"/>
        <w:rPr>
          <w:lang w:val="ro-RO"/>
        </w:rPr>
      </w:pPr>
    </w:p>
    <w:p w14:paraId="31D3E82D" w14:textId="6046BC64" w:rsidR="007D07FC" w:rsidRPr="00DE7FD5" w:rsidRDefault="007D07FC" w:rsidP="002356E9">
      <w:pPr>
        <w:ind w:left="567"/>
        <w:rPr>
          <w:lang w:val="it-IT"/>
        </w:rPr>
      </w:pPr>
      <w:r w:rsidRPr="00DE7FD5">
        <w:rPr>
          <w:lang w:val="it-IT"/>
        </w:rPr>
        <w:lastRenderedPageBreak/>
        <w:t>Capitolul XII Cheltuielile eligibile</w:t>
      </w:r>
    </w:p>
    <w:p w14:paraId="297EC8F6" w14:textId="77777777" w:rsidR="007D07FC" w:rsidRPr="00DE7FD5" w:rsidRDefault="007D07FC" w:rsidP="002356E9">
      <w:pPr>
        <w:ind w:left="567"/>
        <w:rPr>
          <w:lang w:val="it-IT"/>
        </w:rPr>
      </w:pPr>
      <w:r w:rsidRPr="00DE7FD5">
        <w:rPr>
          <w:lang w:val="it-IT"/>
        </w:rPr>
        <w:t>Art</w:t>
      </w:r>
      <w:r>
        <w:rPr>
          <w:lang w:val="it-IT"/>
        </w:rPr>
        <w:t>.</w:t>
      </w:r>
      <w:r w:rsidRPr="00DE7FD5">
        <w:rPr>
          <w:lang w:val="it-IT"/>
        </w:rPr>
        <w:t xml:space="preserve"> 1</w:t>
      </w:r>
      <w:r>
        <w:rPr>
          <w:lang w:val="it-IT"/>
        </w:rPr>
        <w:t>8</w:t>
      </w:r>
    </w:p>
    <w:p w14:paraId="7FF04B32" w14:textId="77777777" w:rsidR="007D07FC" w:rsidRPr="00DE7FD5" w:rsidRDefault="007D07FC" w:rsidP="002356E9">
      <w:pPr>
        <w:ind w:left="567"/>
        <w:rPr>
          <w:lang w:val="it-IT"/>
        </w:rPr>
      </w:pPr>
      <w:r w:rsidRPr="00DE7FD5">
        <w:rPr>
          <w:lang w:val="it-IT"/>
        </w:rPr>
        <w:t>(1)</w:t>
      </w:r>
      <w:r>
        <w:rPr>
          <w:lang w:val="it-IT"/>
        </w:rPr>
        <w:tab/>
      </w:r>
      <w:r w:rsidRPr="00DE7FD5">
        <w:rPr>
          <w:lang w:val="it-IT"/>
        </w:rPr>
        <w:t xml:space="preserve"> Prevederile prezentului capitol sunt în concordanță cu dispozițiile Ordonanței de urgență a Guvernului nr. 60/2022 privind stabilirea cadrului instituțional și financiar de implementare și gestionare a fondurilor alocate României prin Fondul pentru modernizare, precum și pentru modificarea și completarea unor acte normative, cu modificările ulterioare, în măsura în care acestea din urmă sunt mai restrictive decât prevederile specifice ajutorului de stat.</w:t>
      </w:r>
    </w:p>
    <w:p w14:paraId="4081C875" w14:textId="7793E41D" w:rsidR="007D07FC" w:rsidRPr="00DE7FD5" w:rsidRDefault="007D07FC" w:rsidP="002356E9">
      <w:pPr>
        <w:ind w:left="567"/>
        <w:rPr>
          <w:lang w:val="it-IT"/>
        </w:rPr>
      </w:pPr>
      <w:r w:rsidRPr="00DE7FD5">
        <w:rPr>
          <w:lang w:val="it-IT"/>
        </w:rPr>
        <w:t xml:space="preserve">(2) </w:t>
      </w:r>
      <w:r>
        <w:rPr>
          <w:lang w:val="it-IT"/>
        </w:rPr>
        <w:tab/>
      </w:r>
      <w:r w:rsidRPr="00DE7FD5">
        <w:rPr>
          <w:lang w:val="it-IT"/>
        </w:rPr>
        <w:t>Cheltuielile eligibile sunt reprezentate de costurile de investiții în</w:t>
      </w:r>
      <w:r w:rsidR="00C4109C">
        <w:rPr>
          <w:lang w:val="it-IT"/>
        </w:rPr>
        <w:t xml:space="preserve"> achiziția sau</w:t>
      </w:r>
      <w:r w:rsidRPr="00DE7FD5">
        <w:rPr>
          <w:lang w:val="it-IT"/>
        </w:rPr>
        <w:t xml:space="preserve"> </w:t>
      </w:r>
      <w:r w:rsidR="00BA18AC" w:rsidRPr="00BA18AC">
        <w:rPr>
          <w:lang w:val="it-IT"/>
        </w:rPr>
        <w:t>moderniz</w:t>
      </w:r>
      <w:r w:rsidR="00BA18AC">
        <w:rPr>
          <w:lang w:val="it-IT"/>
        </w:rPr>
        <w:t>area</w:t>
      </w:r>
      <w:r w:rsidR="00C4109C">
        <w:rPr>
          <w:lang w:val="it-IT"/>
        </w:rPr>
        <w:t>, după caz, a</w:t>
      </w:r>
      <w:r w:rsidR="00BA18AC">
        <w:rPr>
          <w:lang w:val="it-IT"/>
        </w:rPr>
        <w:t xml:space="preserve"> </w:t>
      </w:r>
      <w:r w:rsidR="00BA18AC" w:rsidRPr="00BA18AC">
        <w:rPr>
          <w:lang w:val="it-IT"/>
        </w:rPr>
        <w:t>vehiculelor pentru transportul rutier,  feroviar, maritim și pe căi navigabile interioare pentru a se califica drept vehicule nepoluante sau vehicule cu emisii zero</w:t>
      </w:r>
      <w:r w:rsidR="00BA18AC">
        <w:rPr>
          <w:lang w:val="it-IT"/>
        </w:rPr>
        <w:t xml:space="preserve">. </w:t>
      </w:r>
      <w:r w:rsidRPr="00DE7FD5">
        <w:rPr>
          <w:lang w:val="it-IT"/>
        </w:rPr>
        <w:t xml:space="preserve">Costurile </w:t>
      </w:r>
      <w:r w:rsidR="00BA18AC">
        <w:rPr>
          <w:lang w:val="it-IT"/>
        </w:rPr>
        <w:t xml:space="preserve">legate de </w:t>
      </w:r>
      <w:r w:rsidRPr="00DE7FD5">
        <w:rPr>
          <w:lang w:val="it-IT"/>
        </w:rPr>
        <w:t>TVA nu sunt eligibile.</w:t>
      </w:r>
    </w:p>
    <w:p w14:paraId="4DF3FDC1" w14:textId="77777777" w:rsidR="007D07FC" w:rsidRDefault="007D07FC" w:rsidP="002356E9">
      <w:pPr>
        <w:ind w:left="567"/>
        <w:rPr>
          <w:lang w:val="it-IT"/>
        </w:rPr>
      </w:pPr>
      <w:r w:rsidRPr="00DE7FD5">
        <w:rPr>
          <w:lang w:val="it-IT"/>
        </w:rPr>
        <w:t>(3)</w:t>
      </w:r>
      <w:r>
        <w:rPr>
          <w:lang w:val="it-IT"/>
        </w:rPr>
        <w:tab/>
      </w:r>
      <w:r w:rsidRPr="00DE7FD5">
        <w:rPr>
          <w:lang w:val="it-IT"/>
        </w:rPr>
        <w:t xml:space="preserve"> Ulterior încheierii contractului de finanțare, beneficiarul nu va mai putea primi finanțări din alte surse publice pentru aceleași cheltuieli eligibile ale proiectului, sub sancțiunea rezilierii contractului de finanțare și a returnării sumelor rambursate.</w:t>
      </w:r>
    </w:p>
    <w:p w14:paraId="245AB95F" w14:textId="77777777" w:rsidR="007D07FC" w:rsidRDefault="007D07FC" w:rsidP="002356E9">
      <w:pPr>
        <w:ind w:left="567"/>
        <w:rPr>
          <w:lang w:val="it-IT"/>
        </w:rPr>
      </w:pPr>
    </w:p>
    <w:p w14:paraId="47862656" w14:textId="5DEB5C68" w:rsidR="007D07FC" w:rsidRPr="00ED26A8" w:rsidRDefault="007D07FC" w:rsidP="002356E9">
      <w:pPr>
        <w:ind w:left="567"/>
        <w:rPr>
          <w:lang w:val="ro-RO"/>
        </w:rPr>
      </w:pPr>
      <w:r w:rsidRPr="00ED26A8">
        <w:rPr>
          <w:lang w:val="ro-RO"/>
        </w:rPr>
        <w:t>Capitolul X</w:t>
      </w:r>
      <w:r w:rsidR="00F43521">
        <w:rPr>
          <w:lang w:val="ro-RO"/>
        </w:rPr>
        <w:t>III</w:t>
      </w:r>
      <w:r w:rsidRPr="00ED26A8">
        <w:rPr>
          <w:lang w:val="ro-RO"/>
        </w:rPr>
        <w:t xml:space="preserve"> Efectul stimulativ</w:t>
      </w:r>
    </w:p>
    <w:p w14:paraId="00798D42" w14:textId="77777777" w:rsidR="007D07FC" w:rsidRPr="00ED26A8" w:rsidRDefault="007D07FC" w:rsidP="002356E9">
      <w:pPr>
        <w:ind w:left="567"/>
        <w:rPr>
          <w:lang w:val="ro-RO"/>
        </w:rPr>
      </w:pPr>
      <w:r w:rsidRPr="00ED26A8">
        <w:rPr>
          <w:lang w:val="ro-RO"/>
        </w:rPr>
        <w:t xml:space="preserve">Art. </w:t>
      </w:r>
      <w:r>
        <w:rPr>
          <w:lang w:val="ro-RO"/>
        </w:rPr>
        <w:t>19</w:t>
      </w:r>
    </w:p>
    <w:p w14:paraId="522CD28D" w14:textId="77777777" w:rsidR="007D07FC" w:rsidRPr="00ED26A8" w:rsidRDefault="007D07FC" w:rsidP="002356E9">
      <w:pPr>
        <w:ind w:left="567"/>
        <w:rPr>
          <w:lang w:val="ro-RO"/>
        </w:rPr>
      </w:pPr>
      <w:r w:rsidRPr="00ED26A8">
        <w:rPr>
          <w:lang w:val="ro-RO"/>
        </w:rPr>
        <w:t>(1) Prezenta schemă se aplică numai ajutoarelor care au efect stimulativ.</w:t>
      </w:r>
    </w:p>
    <w:p w14:paraId="1C964032" w14:textId="77777777" w:rsidR="007D07FC" w:rsidRPr="00ED26A8" w:rsidRDefault="007D07FC" w:rsidP="002356E9">
      <w:pPr>
        <w:ind w:left="567"/>
        <w:rPr>
          <w:lang w:val="ro-RO"/>
        </w:rPr>
      </w:pPr>
      <w:r w:rsidRPr="00ED26A8">
        <w:rPr>
          <w:lang w:val="ro-RO"/>
        </w:rPr>
        <w:t>(2) Se consideră că ajutoarele au efect stimulativ dacă sunt îndeplinite cumulativ următoarele condiții:</w:t>
      </w:r>
    </w:p>
    <w:p w14:paraId="4B297C5B" w14:textId="77777777" w:rsidR="007D07FC" w:rsidRPr="00ED26A8" w:rsidRDefault="007D07FC" w:rsidP="002356E9">
      <w:pPr>
        <w:ind w:left="567"/>
        <w:rPr>
          <w:lang w:val="ro-RO"/>
        </w:rPr>
      </w:pPr>
      <w:r w:rsidRPr="00ED26A8">
        <w:rPr>
          <w:lang w:val="ro-RO"/>
        </w:rPr>
        <w:t xml:space="preserve">a) beneficiarul adresează furnizorului ajutorului de stat o cerere scrisă de acordare a ajutorului de stat înaintea demarării lucrărilor la proiectul de investiții, care să conțină cel puțin toate informațiile prevăzute la art. 6 alin. (2) din Regulament. </w:t>
      </w:r>
    </w:p>
    <w:p w14:paraId="11947FC2" w14:textId="77777777" w:rsidR="007D07FC" w:rsidRPr="00ED26A8" w:rsidRDefault="007D07FC" w:rsidP="002356E9">
      <w:pPr>
        <w:ind w:left="567"/>
        <w:rPr>
          <w:lang w:val="ro-RO"/>
        </w:rPr>
      </w:pPr>
      <w:r w:rsidRPr="00ED26A8">
        <w:rPr>
          <w:lang w:val="ro-RO"/>
        </w:rPr>
        <w:t>b) Furnizorul ajutorului de stat a confirmat eligibilitatea proiectului, înainte de demararea lucrărilor la proiect.</w:t>
      </w:r>
    </w:p>
    <w:p w14:paraId="08F60102" w14:textId="77777777" w:rsidR="007D07FC" w:rsidRPr="00ED26A8" w:rsidRDefault="007D07FC" w:rsidP="002356E9">
      <w:pPr>
        <w:ind w:left="567"/>
        <w:rPr>
          <w:lang w:val="ro-RO"/>
        </w:rPr>
      </w:pPr>
      <w:r w:rsidRPr="00ED26A8">
        <w:rPr>
          <w:lang w:val="ro-RO"/>
        </w:rPr>
        <w:t>(3) Dacă demararea lucrărilor are loc anterior îndeplinirii condițiilor prevăzute la alin. (2), întregul proiect nu va mai fi eligibil pentru ajutor.</w:t>
      </w:r>
    </w:p>
    <w:p w14:paraId="34C5F974" w14:textId="77777777" w:rsidR="007D07FC" w:rsidRDefault="007D07FC" w:rsidP="002356E9">
      <w:pPr>
        <w:ind w:left="0"/>
        <w:rPr>
          <w:lang w:val="it-IT"/>
        </w:rPr>
      </w:pPr>
    </w:p>
    <w:p w14:paraId="29FFB75A" w14:textId="2944ED9B" w:rsidR="007D07FC" w:rsidRPr="001D59E8" w:rsidRDefault="007D07FC" w:rsidP="002356E9">
      <w:pPr>
        <w:ind w:left="567"/>
        <w:rPr>
          <w:lang w:val="it-IT"/>
        </w:rPr>
      </w:pPr>
      <w:r w:rsidRPr="00FF300E">
        <w:rPr>
          <w:lang w:val="it-IT"/>
        </w:rPr>
        <w:t>Capitolul X</w:t>
      </w:r>
      <w:r w:rsidR="00F43521">
        <w:rPr>
          <w:lang w:val="it-IT"/>
        </w:rPr>
        <w:t>I</w:t>
      </w:r>
      <w:r w:rsidRPr="00FF300E">
        <w:rPr>
          <w:lang w:val="it-IT"/>
        </w:rPr>
        <w:t>V Reguli privind cumulul ajutoarelor de stat</w:t>
      </w:r>
    </w:p>
    <w:p w14:paraId="5229B3DD" w14:textId="77777777" w:rsidR="007D07FC" w:rsidRPr="001D59E8" w:rsidRDefault="007D07FC" w:rsidP="002356E9">
      <w:pPr>
        <w:ind w:left="567"/>
        <w:rPr>
          <w:lang w:val="it-IT"/>
        </w:rPr>
      </w:pPr>
      <w:r w:rsidRPr="001D59E8">
        <w:rPr>
          <w:lang w:val="it-IT"/>
        </w:rPr>
        <w:t>Art</w:t>
      </w:r>
      <w:r>
        <w:rPr>
          <w:lang w:val="it-IT"/>
        </w:rPr>
        <w:t xml:space="preserve">. </w:t>
      </w:r>
      <w:r w:rsidRPr="001D59E8">
        <w:rPr>
          <w:lang w:val="it-IT"/>
        </w:rPr>
        <w:t>2</w:t>
      </w:r>
      <w:r>
        <w:rPr>
          <w:lang w:val="it-IT"/>
        </w:rPr>
        <w:t>0</w:t>
      </w:r>
    </w:p>
    <w:p w14:paraId="24E5F9A8" w14:textId="77777777" w:rsidR="007D07FC" w:rsidRPr="001D59E8" w:rsidRDefault="007D07FC" w:rsidP="002356E9">
      <w:pPr>
        <w:ind w:left="567"/>
        <w:rPr>
          <w:lang w:val="it-IT"/>
        </w:rPr>
      </w:pPr>
      <w:r w:rsidRPr="001D59E8">
        <w:rPr>
          <w:lang w:val="it-IT"/>
        </w:rPr>
        <w:t>(1) Pentru același beneficiar și pentru aceleași cheltuieli eligibile, ajutorul de stat pentru investiții acordat prin prezenta schemă nu se poate cumula cu niciun alt ajutor de stat acordat, inclusiv de minimis.</w:t>
      </w:r>
    </w:p>
    <w:p w14:paraId="25A769BD" w14:textId="77777777" w:rsidR="007D07FC" w:rsidRDefault="007D07FC" w:rsidP="002356E9">
      <w:pPr>
        <w:ind w:left="567"/>
        <w:rPr>
          <w:lang w:val="it-IT"/>
        </w:rPr>
      </w:pPr>
      <w:r w:rsidRPr="001D59E8">
        <w:rPr>
          <w:lang w:val="it-IT"/>
        </w:rPr>
        <w:t xml:space="preserve">(2) </w:t>
      </w:r>
      <w:r>
        <w:rPr>
          <w:lang w:val="it-IT"/>
        </w:rPr>
        <w:t>Furnizorul ajutorului de stat</w:t>
      </w:r>
      <w:r w:rsidRPr="001D59E8">
        <w:rPr>
          <w:lang w:val="it-IT"/>
        </w:rPr>
        <w:t xml:space="preserve"> monitorizează ajutoarele acordate în baza prezentei scheme pentru a nu depăși intensitatea maximă admisă.</w:t>
      </w:r>
    </w:p>
    <w:p w14:paraId="22904AFC" w14:textId="77777777" w:rsidR="007D07FC" w:rsidRDefault="007D07FC" w:rsidP="002356E9">
      <w:pPr>
        <w:ind w:left="567"/>
        <w:rPr>
          <w:lang w:val="it-IT"/>
        </w:rPr>
      </w:pPr>
      <w:r w:rsidRPr="001D59E8">
        <w:rPr>
          <w:lang w:val="it-IT"/>
        </w:rPr>
        <w:t>(3) Pentru respectarea regulilor de cumul, beneficiarul de ajutor prezintă o dec</w:t>
      </w:r>
      <w:r>
        <w:rPr>
          <w:lang w:val="it-IT"/>
        </w:rPr>
        <w:t>larație pe propria răspunere, din care să reiasă dacă a mai beneficiat de ajutoare de stat sau ajutoare de minimis pentru aceleasi cheltuieli eligibile.</w:t>
      </w:r>
    </w:p>
    <w:p w14:paraId="1499586D" w14:textId="77777777" w:rsidR="007D07FC" w:rsidRDefault="007D07FC" w:rsidP="002356E9">
      <w:pPr>
        <w:ind w:left="567"/>
        <w:rPr>
          <w:lang w:val="it-IT"/>
        </w:rPr>
      </w:pPr>
    </w:p>
    <w:p w14:paraId="59E20DE3" w14:textId="545C1565" w:rsidR="007D07FC" w:rsidRPr="004A2EA1" w:rsidRDefault="007D07FC" w:rsidP="002356E9">
      <w:pPr>
        <w:ind w:left="567"/>
        <w:rPr>
          <w:lang w:val="it-IT"/>
        </w:rPr>
      </w:pPr>
      <w:r w:rsidRPr="004A2EA1">
        <w:rPr>
          <w:lang w:val="it-IT"/>
        </w:rPr>
        <w:lastRenderedPageBreak/>
        <w:t>Capitolul XV Modalitatea de derulare a schemei de ajutor de stat</w:t>
      </w:r>
    </w:p>
    <w:p w14:paraId="503B9175" w14:textId="77777777" w:rsidR="007D07FC" w:rsidRPr="004A2EA1" w:rsidRDefault="007D07FC" w:rsidP="002356E9">
      <w:pPr>
        <w:ind w:left="567"/>
        <w:rPr>
          <w:lang w:val="it-IT"/>
        </w:rPr>
      </w:pPr>
      <w:r w:rsidRPr="004A2EA1">
        <w:rPr>
          <w:lang w:val="it-IT"/>
        </w:rPr>
        <w:t>Art</w:t>
      </w:r>
      <w:r>
        <w:rPr>
          <w:lang w:val="it-IT"/>
        </w:rPr>
        <w:t xml:space="preserve">. </w:t>
      </w:r>
      <w:r w:rsidRPr="004A2EA1">
        <w:rPr>
          <w:lang w:val="it-IT"/>
        </w:rPr>
        <w:t>2</w:t>
      </w:r>
      <w:r>
        <w:rPr>
          <w:lang w:val="it-IT"/>
        </w:rPr>
        <w:t>1</w:t>
      </w:r>
    </w:p>
    <w:p w14:paraId="18482719" w14:textId="31A104E0" w:rsidR="007D07FC" w:rsidRDefault="007D07FC" w:rsidP="002356E9">
      <w:pPr>
        <w:ind w:left="567"/>
        <w:rPr>
          <w:lang w:val="it-IT"/>
        </w:rPr>
      </w:pPr>
      <w:r w:rsidRPr="004A2EA1">
        <w:rPr>
          <w:lang w:val="it-IT"/>
        </w:rPr>
        <w:t xml:space="preserve">(1) </w:t>
      </w:r>
      <w:r>
        <w:rPr>
          <w:lang w:val="it-IT"/>
        </w:rPr>
        <w:tab/>
        <w:t>Furnizorul ajutorului de stat</w:t>
      </w:r>
      <w:r w:rsidRPr="004A2EA1">
        <w:rPr>
          <w:lang w:val="it-IT"/>
        </w:rPr>
        <w:t xml:space="preserve"> stabilește condițiile de eligibilitate și de selecție în cadrul procedurii de ofertare concurențială cu respectarea prevederilor </w:t>
      </w:r>
      <w:r w:rsidR="00D9356F">
        <w:rPr>
          <w:lang w:val="it-IT"/>
        </w:rPr>
        <w:t>prezentei scheme</w:t>
      </w:r>
      <w:r w:rsidRPr="004A2EA1">
        <w:rPr>
          <w:lang w:val="it-IT"/>
        </w:rPr>
        <w:t xml:space="preserve"> și lansează procedura de ofertare concurențială pentru selecția proiectelor ce vor beneficia de finanțare. </w:t>
      </w:r>
    </w:p>
    <w:p w14:paraId="2310ABA5" w14:textId="77777777" w:rsidR="007D07FC" w:rsidRDefault="007D07FC" w:rsidP="002356E9">
      <w:pPr>
        <w:ind w:left="567"/>
        <w:rPr>
          <w:lang w:val="it-IT"/>
        </w:rPr>
      </w:pPr>
      <w:r w:rsidRPr="004A2EA1">
        <w:rPr>
          <w:lang w:val="it-IT"/>
        </w:rPr>
        <w:t>(2)</w:t>
      </w:r>
      <w:r>
        <w:rPr>
          <w:lang w:val="it-IT"/>
        </w:rPr>
        <w:tab/>
      </w:r>
      <w:r w:rsidRPr="004A2EA1">
        <w:rPr>
          <w:lang w:val="it-IT"/>
        </w:rPr>
        <w:t xml:space="preserve"> Procedura de implementare și derulare a schemei se desfășoară în conformitate cu prevederile din Ghidul solicitantului, aprobat prin ordin al ministrului </w:t>
      </w:r>
      <w:r>
        <w:rPr>
          <w:lang w:val="it-IT"/>
        </w:rPr>
        <w:t>transporturilor și infrastructurii</w:t>
      </w:r>
      <w:r w:rsidRPr="004A2EA1">
        <w:rPr>
          <w:lang w:val="it-IT"/>
        </w:rPr>
        <w:t xml:space="preserve"> și publicat pe site-u</w:t>
      </w:r>
      <w:r>
        <w:rPr>
          <w:lang w:val="it-IT"/>
        </w:rPr>
        <w:t>l</w:t>
      </w:r>
      <w:r w:rsidRPr="004A2EA1">
        <w:rPr>
          <w:lang w:val="it-IT"/>
        </w:rPr>
        <w:t xml:space="preserve"> oficial al Ministerului </w:t>
      </w:r>
      <w:r>
        <w:rPr>
          <w:lang w:val="it-IT"/>
        </w:rPr>
        <w:t xml:space="preserve">Transporturilor și Infrastructurii. </w:t>
      </w:r>
    </w:p>
    <w:p w14:paraId="5195B04F" w14:textId="77777777" w:rsidR="007D07FC" w:rsidRDefault="007D07FC" w:rsidP="002356E9">
      <w:pPr>
        <w:ind w:left="567"/>
        <w:rPr>
          <w:lang w:val="it-IT"/>
        </w:rPr>
      </w:pPr>
      <w:r w:rsidRPr="004A2EA1" w:rsidDel="00143CA0">
        <w:rPr>
          <w:lang w:val="it-IT"/>
        </w:rPr>
        <w:t xml:space="preserve"> </w:t>
      </w:r>
      <w:r w:rsidRPr="004A2EA1">
        <w:rPr>
          <w:lang w:val="it-IT"/>
        </w:rPr>
        <w:t xml:space="preserve">(3) </w:t>
      </w:r>
      <w:r>
        <w:rPr>
          <w:lang w:val="it-IT"/>
        </w:rPr>
        <w:tab/>
        <w:t>Furnizorul ajutorului de stat</w:t>
      </w:r>
      <w:r w:rsidRPr="004A2EA1">
        <w:rPr>
          <w:lang w:val="it-IT"/>
        </w:rPr>
        <w:t xml:space="preserve"> va acorda ajutorul după ce va verifica, pe baza solicitării de finanțare depuse de potențialii beneficiari, îndeplinirea condițiilor de eligibil</w:t>
      </w:r>
      <w:r>
        <w:rPr>
          <w:lang w:val="it-IT"/>
        </w:rPr>
        <w:t>i</w:t>
      </w:r>
      <w:r w:rsidRPr="004A2EA1">
        <w:rPr>
          <w:lang w:val="it-IT"/>
        </w:rPr>
        <w:t>tate și de selecție prevăzute în schemă și în Ghidul solicitantului.</w:t>
      </w:r>
    </w:p>
    <w:p w14:paraId="76999898" w14:textId="6B426BB9" w:rsidR="007D07FC" w:rsidRPr="00D9356F" w:rsidRDefault="007D07FC" w:rsidP="002356E9">
      <w:pPr>
        <w:ind w:left="567"/>
        <w:rPr>
          <w:lang w:val="ro-RO"/>
        </w:rPr>
      </w:pPr>
      <w:r>
        <w:rPr>
          <w:lang w:val="it-IT"/>
        </w:rPr>
        <w:t xml:space="preserve">(4) </w:t>
      </w:r>
      <w:r>
        <w:rPr>
          <w:lang w:val="it-IT"/>
        </w:rPr>
        <w:tab/>
      </w:r>
      <w:r w:rsidRPr="00FC359B">
        <w:rPr>
          <w:lang w:val="it-IT"/>
        </w:rPr>
        <w:t>Perioada de depunere a propunerilor de proiecte</w:t>
      </w:r>
      <w:r>
        <w:rPr>
          <w:lang w:val="it-IT"/>
        </w:rPr>
        <w:t xml:space="preserve"> pentru </w:t>
      </w:r>
      <w:r w:rsidR="00013CE8">
        <w:rPr>
          <w:lang w:val="it-IT"/>
        </w:rPr>
        <w:t xml:space="preserve">achiziția sau </w:t>
      </w:r>
      <w:r w:rsidR="00D9356F" w:rsidRPr="00D9356F">
        <w:rPr>
          <w:lang w:val="it-IT"/>
        </w:rPr>
        <w:t>moderniz</w:t>
      </w:r>
      <w:r w:rsidR="00D9356F">
        <w:rPr>
          <w:lang w:val="it-IT"/>
        </w:rPr>
        <w:t>area</w:t>
      </w:r>
      <w:r w:rsidR="00013CE8">
        <w:rPr>
          <w:lang w:val="it-IT"/>
        </w:rPr>
        <w:t xml:space="preserve">, după caz, a </w:t>
      </w:r>
      <w:r w:rsidR="00D9356F" w:rsidRPr="00D9356F">
        <w:rPr>
          <w:lang w:val="it-IT"/>
        </w:rPr>
        <w:t>vehiculelor pentru transportul rutier, feroviar, maritim și pe căi navigabile interioare pentru a se califica drept vehicule nepoluante sau vehicule cu emisii zero</w:t>
      </w:r>
      <w:r w:rsidR="00D9356F">
        <w:rPr>
          <w:lang w:val="it-IT"/>
        </w:rPr>
        <w:t xml:space="preserve"> </w:t>
      </w:r>
      <w:r w:rsidRPr="00D9356F">
        <w:rPr>
          <w:lang w:val="ro-RO"/>
        </w:rPr>
        <w:t>în cadrul procedurii de ofertare concurențială va fi anunțată pe pagina oficială de internet a furnizorului ajutorului de stat.</w:t>
      </w:r>
    </w:p>
    <w:p w14:paraId="7D7FED83" w14:textId="77777777" w:rsidR="007D07FC" w:rsidRDefault="007D07FC" w:rsidP="002356E9">
      <w:pPr>
        <w:ind w:left="567"/>
        <w:rPr>
          <w:lang w:val="it-IT"/>
        </w:rPr>
      </w:pPr>
      <w:r>
        <w:rPr>
          <w:lang w:val="it-IT"/>
        </w:rPr>
        <w:t>(5)</w:t>
      </w:r>
      <w:r>
        <w:rPr>
          <w:lang w:val="it-IT"/>
        </w:rPr>
        <w:tab/>
      </w:r>
      <w:r w:rsidRPr="00FC359B">
        <w:rPr>
          <w:lang w:val="it-IT"/>
        </w:rPr>
        <w:t xml:space="preserve">Pentru a beneficia de prevederile prezentei scheme solicitanții vor </w:t>
      </w:r>
      <w:r>
        <w:rPr>
          <w:lang w:val="it-IT"/>
        </w:rPr>
        <w:t>trasmite</w:t>
      </w:r>
      <w:r w:rsidRPr="00FC359B">
        <w:rPr>
          <w:lang w:val="it-IT"/>
        </w:rPr>
        <w:t xml:space="preserve"> </w:t>
      </w:r>
      <w:r>
        <w:rPr>
          <w:lang w:val="it-IT"/>
        </w:rPr>
        <w:t>Furnizorului ajutorului de stat</w:t>
      </w:r>
      <w:r w:rsidRPr="00FC359B">
        <w:rPr>
          <w:lang w:val="it-IT"/>
        </w:rPr>
        <w:t xml:space="preserve"> solicitarea de sprijin, anexele acesteia și alte documente solicitate prin Ghidul solicitantului.</w:t>
      </w:r>
    </w:p>
    <w:p w14:paraId="2FC7A2D1" w14:textId="728D2E5F" w:rsidR="007D07FC" w:rsidRPr="00E52AFD" w:rsidRDefault="007D07FC" w:rsidP="002356E9">
      <w:pPr>
        <w:ind w:left="567"/>
        <w:rPr>
          <w:lang w:val="it-IT"/>
        </w:rPr>
      </w:pPr>
      <w:r>
        <w:rPr>
          <w:lang w:val="it-IT"/>
        </w:rPr>
        <w:t>(</w:t>
      </w:r>
      <w:r w:rsidRPr="00E52AFD">
        <w:rPr>
          <w:lang w:val="it-IT"/>
        </w:rPr>
        <w:t xml:space="preserve">6) </w:t>
      </w:r>
      <w:r>
        <w:rPr>
          <w:lang w:val="it-IT"/>
        </w:rPr>
        <w:tab/>
        <w:t>Ulterior</w:t>
      </w:r>
      <w:r w:rsidRPr="00E52AFD">
        <w:rPr>
          <w:lang w:val="it-IT"/>
        </w:rPr>
        <w:t xml:space="preserve"> </w:t>
      </w:r>
      <w:r>
        <w:rPr>
          <w:lang w:val="it-IT"/>
        </w:rPr>
        <w:t>v</w:t>
      </w:r>
      <w:r w:rsidRPr="00E52AFD">
        <w:rPr>
          <w:lang w:val="it-IT"/>
        </w:rPr>
        <w:t>erific</w:t>
      </w:r>
      <w:r>
        <w:rPr>
          <w:lang w:val="it-IT"/>
        </w:rPr>
        <w:t>ării</w:t>
      </w:r>
      <w:r w:rsidRPr="00E52AFD">
        <w:rPr>
          <w:lang w:val="it-IT"/>
        </w:rPr>
        <w:t xml:space="preserve"> conformității administrative și a eligibilității solicitărilor de sprijin</w:t>
      </w:r>
      <w:r>
        <w:rPr>
          <w:lang w:val="it-IT"/>
        </w:rPr>
        <w:t>, conform prevederilor schemei și a celor stabilite prin Ghidul Solicitantului, precum și după efectuarea e</w:t>
      </w:r>
      <w:r w:rsidRPr="00E52AFD">
        <w:rPr>
          <w:lang w:val="it-IT"/>
        </w:rPr>
        <w:t>valu</w:t>
      </w:r>
      <w:r>
        <w:rPr>
          <w:lang w:val="it-IT"/>
        </w:rPr>
        <w:t>ării</w:t>
      </w:r>
      <w:r w:rsidRPr="00E52AFD">
        <w:rPr>
          <w:lang w:val="it-IT"/>
        </w:rPr>
        <w:t xml:space="preserve"> tehnico-economic</w:t>
      </w:r>
      <w:r>
        <w:rPr>
          <w:lang w:val="it-IT"/>
        </w:rPr>
        <w:t xml:space="preserve">e </w:t>
      </w:r>
      <w:r w:rsidRPr="00E52AFD">
        <w:rPr>
          <w:lang w:val="it-IT"/>
        </w:rPr>
        <w:t>a solicitării de sprijin</w:t>
      </w:r>
      <w:r>
        <w:rPr>
          <w:lang w:val="it-IT"/>
        </w:rPr>
        <w:t xml:space="preserve">, conform anexă </w:t>
      </w:r>
      <w:r w:rsidR="00013CE8">
        <w:rPr>
          <w:lang w:val="it-IT"/>
        </w:rPr>
        <w:t xml:space="preserve">I </w:t>
      </w:r>
      <w:r>
        <w:rPr>
          <w:lang w:val="it-IT"/>
        </w:rPr>
        <w:t xml:space="preserve">la </w:t>
      </w:r>
      <w:r w:rsidR="00013CE8">
        <w:rPr>
          <w:lang w:val="it-IT"/>
        </w:rPr>
        <w:t>prezenta schemă de ajutor.</w:t>
      </w:r>
      <w:r w:rsidRPr="00AC27C6">
        <w:rPr>
          <w:lang w:val="it-IT"/>
        </w:rPr>
        <w:t xml:space="preserve"> </w:t>
      </w:r>
      <w:r>
        <w:rPr>
          <w:lang w:val="it-IT"/>
        </w:rPr>
        <w:t>Furnizorul ordonează o</w:t>
      </w:r>
      <w:r w:rsidRPr="00AC27C6">
        <w:rPr>
          <w:lang w:val="it-IT"/>
        </w:rPr>
        <w:t xml:space="preserve">fertele </w:t>
      </w:r>
      <w:r>
        <w:rPr>
          <w:lang w:val="it-IT"/>
        </w:rPr>
        <w:t>conforme</w:t>
      </w:r>
      <w:r w:rsidRPr="00AC27C6">
        <w:rPr>
          <w:lang w:val="it-IT"/>
        </w:rPr>
        <w:t xml:space="preserve"> în funcție de punctajele finale obținute și </w:t>
      </w:r>
      <w:r>
        <w:rPr>
          <w:lang w:val="it-IT"/>
        </w:rPr>
        <w:t>le va</w:t>
      </w:r>
      <w:r w:rsidRPr="00AC27C6">
        <w:rPr>
          <w:lang w:val="it-IT"/>
        </w:rPr>
        <w:t xml:space="preserve"> înscrise pe lista pentru finanțare începând de la cele cu punctajul cel mai mare, până la acoperirea bugetului alocat pentru fiecare sesiune de ofertare concurențială.</w:t>
      </w:r>
      <w:r>
        <w:rPr>
          <w:lang w:val="it-IT"/>
        </w:rPr>
        <w:t xml:space="preserve"> Furnizorul ajutorului de stat</w:t>
      </w:r>
      <w:r w:rsidRPr="00E52AFD">
        <w:rPr>
          <w:lang w:val="it-IT"/>
        </w:rPr>
        <w:t xml:space="preserve"> semnează contracte de finanțare cu beneficiarii de ajutor de stat </w:t>
      </w:r>
      <w:r>
        <w:rPr>
          <w:lang w:val="it-IT"/>
        </w:rPr>
        <w:t xml:space="preserve">declarați câștigători </w:t>
      </w:r>
      <w:r w:rsidRPr="00E52AFD">
        <w:rPr>
          <w:lang w:val="it-IT"/>
        </w:rPr>
        <w:t>în urma proceduri</w:t>
      </w:r>
      <w:r>
        <w:rPr>
          <w:lang w:val="it-IT"/>
        </w:rPr>
        <w:t>lor</w:t>
      </w:r>
      <w:r w:rsidRPr="00E52AFD">
        <w:rPr>
          <w:lang w:val="it-IT"/>
        </w:rPr>
        <w:t xml:space="preserve"> de ofertare concurențială</w:t>
      </w:r>
      <w:r>
        <w:rPr>
          <w:lang w:val="it-IT"/>
        </w:rPr>
        <w:t>.</w:t>
      </w:r>
    </w:p>
    <w:p w14:paraId="18BDF8E1" w14:textId="77777777" w:rsidR="007D07FC" w:rsidRDefault="007D07FC" w:rsidP="002356E9">
      <w:pPr>
        <w:ind w:left="567"/>
        <w:rPr>
          <w:lang w:val="it-IT"/>
        </w:rPr>
      </w:pPr>
    </w:p>
    <w:p w14:paraId="4B01981E" w14:textId="6BADA578" w:rsidR="007D07FC" w:rsidRPr="00E52AFD" w:rsidRDefault="007D07FC" w:rsidP="002356E9">
      <w:pPr>
        <w:ind w:left="567"/>
        <w:rPr>
          <w:lang w:val="it-IT"/>
        </w:rPr>
      </w:pPr>
      <w:r w:rsidRPr="00E52AFD">
        <w:rPr>
          <w:lang w:val="it-IT"/>
        </w:rPr>
        <w:t>Capitolul XVI Reguli privind recuperarea/stoparea acordării ajutoarelor de stat</w:t>
      </w:r>
    </w:p>
    <w:p w14:paraId="1735A293" w14:textId="77777777" w:rsidR="007D07FC" w:rsidRPr="00E52AFD" w:rsidRDefault="007D07FC" w:rsidP="002356E9">
      <w:pPr>
        <w:ind w:left="567"/>
        <w:rPr>
          <w:lang w:val="it-IT"/>
        </w:rPr>
      </w:pPr>
      <w:r w:rsidRPr="00E52AFD">
        <w:rPr>
          <w:lang w:val="it-IT"/>
        </w:rPr>
        <w:t>Art</w:t>
      </w:r>
      <w:r>
        <w:rPr>
          <w:lang w:val="it-IT"/>
        </w:rPr>
        <w:t>.</w:t>
      </w:r>
      <w:r w:rsidRPr="00E52AFD">
        <w:rPr>
          <w:lang w:val="it-IT"/>
        </w:rPr>
        <w:t xml:space="preserve"> 2</w:t>
      </w:r>
      <w:r>
        <w:rPr>
          <w:lang w:val="it-IT"/>
        </w:rPr>
        <w:t>2</w:t>
      </w:r>
    </w:p>
    <w:p w14:paraId="7FAA958D" w14:textId="77777777" w:rsidR="007D07FC" w:rsidRDefault="007D07FC" w:rsidP="002356E9">
      <w:pPr>
        <w:ind w:left="567"/>
        <w:rPr>
          <w:lang w:val="it-IT"/>
        </w:rPr>
      </w:pPr>
      <w:r w:rsidRPr="00B020DB">
        <w:rPr>
          <w:lang w:val="it-IT"/>
        </w:rPr>
        <w:t>(1</w:t>
      </w:r>
      <w:r>
        <w:rPr>
          <w:lang w:val="it-IT"/>
        </w:rPr>
        <w:t>)</w:t>
      </w:r>
      <w:r>
        <w:rPr>
          <w:lang w:val="it-IT"/>
        </w:rPr>
        <w:tab/>
        <w:t>Furnizorul ajutorului de stat</w:t>
      </w:r>
      <w:r w:rsidRPr="00B020DB">
        <w:rPr>
          <w:lang w:val="it-IT"/>
        </w:rPr>
        <w:t xml:space="preserve"> verifică respectarea condițiilor și criteriilor de eligibilitate </w:t>
      </w:r>
      <w:r w:rsidRPr="0010317C">
        <w:rPr>
          <w:lang w:val="ro-RO"/>
        </w:rPr>
        <w:t xml:space="preserve">prevăzute în prezenta Schemă de ajutor de stat </w:t>
      </w:r>
      <w:r w:rsidRPr="00B020DB">
        <w:rPr>
          <w:lang w:val="it-IT"/>
        </w:rPr>
        <w:t>pe toată durata de derulare a acesteia și are obligați</w:t>
      </w:r>
      <w:r>
        <w:rPr>
          <w:lang w:val="it-IT"/>
        </w:rPr>
        <w:t>ile</w:t>
      </w:r>
      <w:r w:rsidRPr="00B020DB">
        <w:rPr>
          <w:lang w:val="it-IT"/>
        </w:rPr>
        <w:t xml:space="preserve"> de a monitoriza permanent ajutoarele acordate, aflate în derulare și de a dispune măsurile care se impun.</w:t>
      </w:r>
    </w:p>
    <w:p w14:paraId="4E382C3F" w14:textId="77777777" w:rsidR="007D07FC" w:rsidRDefault="007D07FC" w:rsidP="002356E9">
      <w:pPr>
        <w:ind w:left="567"/>
        <w:rPr>
          <w:lang w:val="it-IT"/>
        </w:rPr>
      </w:pPr>
      <w:r>
        <w:rPr>
          <w:lang w:val="it-IT"/>
        </w:rPr>
        <w:t>(2)</w:t>
      </w:r>
      <w:r>
        <w:rPr>
          <w:lang w:val="it-IT"/>
        </w:rPr>
        <w:tab/>
      </w:r>
      <w:r w:rsidRPr="00B020DB">
        <w:rPr>
          <w:lang w:val="it-IT"/>
        </w:rPr>
        <w:t xml:space="preserve"> În cazul </w:t>
      </w:r>
      <w:r>
        <w:rPr>
          <w:lang w:val="it-IT"/>
        </w:rPr>
        <w:t xml:space="preserve">în care </w:t>
      </w:r>
      <w:r w:rsidRPr="00B020DB">
        <w:rPr>
          <w:lang w:val="it-IT"/>
        </w:rPr>
        <w:t xml:space="preserve">se constată că </w:t>
      </w:r>
      <w:r>
        <w:rPr>
          <w:lang w:val="it-IT"/>
        </w:rPr>
        <w:t xml:space="preserve">ajutorul de stat </w:t>
      </w:r>
      <w:r w:rsidRPr="00B020DB">
        <w:rPr>
          <w:lang w:val="it-IT"/>
        </w:rPr>
        <w:t xml:space="preserve">a fost acordat ilegal sau a fost utilizat abuziv, </w:t>
      </w:r>
      <w:r>
        <w:rPr>
          <w:lang w:val="it-IT"/>
        </w:rPr>
        <w:t>Furnizorul ajutorului de stat</w:t>
      </w:r>
      <w:r w:rsidRPr="00B020DB">
        <w:rPr>
          <w:lang w:val="it-IT"/>
        </w:rPr>
        <w:t xml:space="preserve"> dispune recuperarea/stoparea acordării acestuia, respectiv va proceda la încetarea contractului de finanțare.</w:t>
      </w:r>
    </w:p>
    <w:p w14:paraId="5C0647A0" w14:textId="77777777" w:rsidR="007D07FC" w:rsidRPr="006518A1" w:rsidRDefault="007D07FC" w:rsidP="002356E9">
      <w:pPr>
        <w:ind w:left="567"/>
        <w:rPr>
          <w:lang w:val="ro-RO"/>
        </w:rPr>
      </w:pPr>
      <w:r>
        <w:rPr>
          <w:lang w:val="it-IT"/>
        </w:rPr>
        <w:t>(3)</w:t>
      </w:r>
      <w:r>
        <w:rPr>
          <w:lang w:val="it-IT"/>
        </w:rPr>
        <w:tab/>
        <w:t xml:space="preserve">Ministerul Transporturilor și Infrastructurii va lua toate măsurile necesare pentru recuperarea sumelor alocate beneficiarului, în conformitate cu prevederile Ordonanței de Urgență a Guvernului nr. 77/2014 privind procedurile naționale în domeniul ajutorului de stat, precum și pentru modificarea și completarea Legii concurenței nr. 21/1996, aprobată cu modificări și completări prin Legea nr. 20/2015, cu modificările și completările </w:t>
      </w:r>
      <w:r>
        <w:rPr>
          <w:lang w:val="it-IT"/>
        </w:rPr>
        <w:lastRenderedPageBreak/>
        <w:t xml:space="preserve">ulterioare. Astfel, </w:t>
      </w:r>
      <w:r w:rsidRPr="006518A1">
        <w:rPr>
          <w:lang w:val="it-IT"/>
        </w:rPr>
        <w:t>va emite o decizie de recuperare a ajutorului de stat acordat, care reprezintă titlu executoriu la data emiterii acesteia</w:t>
      </w:r>
      <w:r>
        <w:rPr>
          <w:lang w:val="it-IT"/>
        </w:rPr>
        <w:t xml:space="preserve">. </w:t>
      </w:r>
      <w:r w:rsidRPr="006518A1">
        <w:rPr>
          <w:lang w:val="it-IT"/>
        </w:rPr>
        <w:t>Aceasta se transmite spre executare silită Agenției Naționale de Administrare Fiscală (ANAF) în vederea aplicării prevederilor Legii nr. 207/2015 privind Codul de procedură fiscală, cu modificările și completările ulterioare;</w:t>
      </w:r>
    </w:p>
    <w:p w14:paraId="3BB5DAD9" w14:textId="1E388779" w:rsidR="007D07FC" w:rsidRPr="002356E9" w:rsidRDefault="007D07FC" w:rsidP="002356E9">
      <w:pPr>
        <w:ind w:left="567"/>
        <w:rPr>
          <w:rFonts w:ascii="Times New Roman" w:eastAsia="Times New Roman" w:hAnsi="Times New Roman" w:cs="Times New Roman"/>
          <w:sz w:val="24"/>
          <w:szCs w:val="24"/>
          <w:lang w:val="ro-RO" w:eastAsia="ar-SA"/>
        </w:rPr>
      </w:pPr>
      <w:r w:rsidRPr="006518A1">
        <w:rPr>
          <w:lang w:val="ro-RO"/>
        </w:rPr>
        <w:t>(4)</w:t>
      </w:r>
      <w:r w:rsidRPr="006518A1">
        <w:rPr>
          <w:lang w:val="ro-RO"/>
        </w:rPr>
        <w:tab/>
      </w:r>
      <w:r w:rsidRPr="00B020DB">
        <w:rPr>
          <w:lang w:val="ro-RO"/>
        </w:rPr>
        <w:t xml:space="preserve">Ajutorul de stat </w:t>
      </w:r>
      <w:r>
        <w:rPr>
          <w:lang w:val="ro-RO"/>
        </w:rPr>
        <w:t xml:space="preserve">care trebuie rambursat sau recuperat include dobânda aferentă, datorată de la data plății acestuia până la data recuperării sau a rambursării integrale. Rata dobânzii aplicabile este cea stabilită potrivit prevederilor Regulamentului (UE) nr. 1589/2015 de stabilire a normelor de aplicare a articolului 108 din Tratatul privind funcționarea Uniunii Europene. </w:t>
      </w:r>
      <w:r w:rsidRPr="001E3A7B">
        <w:rPr>
          <w:rFonts w:eastAsia="Verdana" w:cs="Times New Roman"/>
          <w:lang w:val="ro-RO" w:eastAsia="zh-TW"/>
        </w:rPr>
        <w:t>Procedura de calcul al dobânzii se stabilește prin instrucțiuni emise de Consiliul Concurenței</w:t>
      </w:r>
      <w:r w:rsidRPr="001E3A7B">
        <w:rPr>
          <w:rFonts w:ascii="Times New Roman" w:eastAsia="Times New Roman" w:hAnsi="Times New Roman" w:cs="Times New Roman"/>
          <w:sz w:val="24"/>
          <w:szCs w:val="24"/>
          <w:vertAlign w:val="superscript"/>
          <w:lang w:val="ro-RO" w:eastAsia="ar-SA"/>
        </w:rPr>
        <w:footnoteReference w:id="3"/>
      </w:r>
      <w:r w:rsidRPr="001E3A7B">
        <w:rPr>
          <w:rFonts w:ascii="Times New Roman" w:eastAsia="Times New Roman" w:hAnsi="Times New Roman" w:cs="Times New Roman"/>
          <w:sz w:val="24"/>
          <w:szCs w:val="24"/>
          <w:lang w:val="ro-RO" w:eastAsia="ar-SA"/>
        </w:rPr>
        <w:t>.</w:t>
      </w:r>
    </w:p>
    <w:p w14:paraId="4A9993F8" w14:textId="77777777" w:rsidR="007D07FC" w:rsidRDefault="007D07FC" w:rsidP="002356E9">
      <w:pPr>
        <w:ind w:left="567"/>
        <w:rPr>
          <w:lang w:val="ro-RO"/>
        </w:rPr>
      </w:pPr>
    </w:p>
    <w:p w14:paraId="00CE6278" w14:textId="7FB1EE5E" w:rsidR="007D07FC" w:rsidRPr="006518A1" w:rsidRDefault="007D07FC" w:rsidP="002356E9">
      <w:pPr>
        <w:ind w:left="567"/>
        <w:rPr>
          <w:lang w:val="ro-RO"/>
        </w:rPr>
      </w:pPr>
      <w:r w:rsidRPr="006518A1">
        <w:rPr>
          <w:lang w:val="ro-RO"/>
        </w:rPr>
        <w:t>Capitolul XVII Reguli privind publicarea, informarea, raportarea și monitorizarea ajutoarelor de stat</w:t>
      </w:r>
    </w:p>
    <w:p w14:paraId="08A4531D" w14:textId="77777777" w:rsidR="007D07FC" w:rsidRPr="006518A1" w:rsidRDefault="007D07FC" w:rsidP="002356E9">
      <w:pPr>
        <w:ind w:left="567"/>
        <w:rPr>
          <w:lang w:val="ro-RO"/>
        </w:rPr>
      </w:pPr>
      <w:r w:rsidRPr="006518A1">
        <w:rPr>
          <w:lang w:val="ro-RO"/>
        </w:rPr>
        <w:t>Art</w:t>
      </w:r>
      <w:r>
        <w:rPr>
          <w:lang w:val="ro-RO"/>
        </w:rPr>
        <w:t>.</w:t>
      </w:r>
      <w:r w:rsidRPr="006518A1">
        <w:rPr>
          <w:lang w:val="ro-RO"/>
        </w:rPr>
        <w:t xml:space="preserve"> 2</w:t>
      </w:r>
      <w:r>
        <w:rPr>
          <w:lang w:val="ro-RO"/>
        </w:rPr>
        <w:t>3</w:t>
      </w:r>
    </w:p>
    <w:p w14:paraId="231537E2" w14:textId="77777777" w:rsidR="007D07FC" w:rsidRDefault="007D07FC" w:rsidP="002356E9">
      <w:pPr>
        <w:ind w:left="567"/>
        <w:rPr>
          <w:lang w:val="ro-RO"/>
        </w:rPr>
      </w:pPr>
      <w:r>
        <w:rPr>
          <w:lang w:val="ro-RO"/>
        </w:rPr>
        <w:t xml:space="preserve">(1) </w:t>
      </w:r>
      <w:r w:rsidRPr="006518A1">
        <w:rPr>
          <w:lang w:val="ro-RO"/>
        </w:rPr>
        <w:t xml:space="preserve">În vederea asigurării transparenței și a unui control eficient al ajutoarelor de stat, în conformitate cu art. 3 din Regulamentul (UE) nr. 994/1998, al Consiliului din 7 mai 1998 privind aplicarea articolelor 107 și 108 din Tratatul privind funcționarea Uniunii Europene anumitor categorii de ajutoare de stat orizontale, astfel cum a fost modificat prin Regulamentul (UE) nr. 733/2013 al Consiliului din 22 iulie 2013, </w:t>
      </w:r>
      <w:r>
        <w:rPr>
          <w:lang w:val="ro-RO"/>
        </w:rPr>
        <w:t>f</w:t>
      </w:r>
      <w:r w:rsidRPr="00CA7A4C">
        <w:rPr>
          <w:lang w:val="ro-RO"/>
        </w:rPr>
        <w:t>urnizorul ajutorului de stat</w:t>
      </w:r>
      <w:r w:rsidRPr="006518A1">
        <w:rPr>
          <w:lang w:val="ro-RO"/>
        </w:rPr>
        <w:t xml:space="preserve"> aplică prevederile referitoare la procedura de informare prevăzut</w:t>
      </w:r>
      <w:r>
        <w:rPr>
          <w:lang w:val="ro-RO"/>
        </w:rPr>
        <w:t>ă</w:t>
      </w:r>
      <w:r w:rsidRPr="006518A1">
        <w:rPr>
          <w:lang w:val="ro-RO"/>
        </w:rPr>
        <w:t xml:space="preserve"> în Ordonanța de urgență a Guvernului nr. 77/2014, aprobată cu modificări și completări prin Legea nr. 20/2015, cu modificările și completările ulterioare.</w:t>
      </w:r>
    </w:p>
    <w:p w14:paraId="000DAEDC" w14:textId="77777777" w:rsidR="007D07FC" w:rsidRDefault="007D07FC" w:rsidP="002356E9">
      <w:pPr>
        <w:ind w:left="567"/>
        <w:rPr>
          <w:lang w:val="ro-RO"/>
        </w:rPr>
      </w:pPr>
      <w:r>
        <w:rPr>
          <w:lang w:val="ro-RO"/>
        </w:rPr>
        <w:t>(2)</w:t>
      </w:r>
      <w:r>
        <w:rPr>
          <w:lang w:val="ro-RO"/>
        </w:rPr>
        <w:tab/>
        <w:t>În cadrul prezentei scheme se aplică următoarele reguli privind publicarea, informarea, raportarea și monitorizarea ajutorului de stat:</w:t>
      </w:r>
    </w:p>
    <w:p w14:paraId="27F9F046" w14:textId="77777777" w:rsidR="007D07FC" w:rsidRDefault="007D07FC" w:rsidP="002356E9">
      <w:pPr>
        <w:ind w:left="567"/>
        <w:rPr>
          <w:lang w:val="ro-RO"/>
        </w:rPr>
      </w:pPr>
      <w:r>
        <w:rPr>
          <w:lang w:val="ro-RO"/>
        </w:rPr>
        <w:t xml:space="preserve">a) </w:t>
      </w:r>
      <w:r w:rsidRPr="009768C4">
        <w:rPr>
          <w:lang w:val="ro-RO"/>
        </w:rPr>
        <w:t>Furnizorul ajutorului de stat</w:t>
      </w:r>
      <w:r>
        <w:rPr>
          <w:lang w:val="ro-RO"/>
        </w:rPr>
        <w:t xml:space="preserve"> trebuie să păstreze înregistrări detaliate cu privire la toate ajutoarele acordate conform prezentei scheme. </w:t>
      </w:r>
    </w:p>
    <w:p w14:paraId="3A836E0F" w14:textId="77777777" w:rsidR="007D07FC" w:rsidRDefault="007D07FC" w:rsidP="002356E9">
      <w:pPr>
        <w:ind w:left="567"/>
        <w:rPr>
          <w:lang w:val="ro-RO"/>
        </w:rPr>
      </w:pPr>
      <w:r>
        <w:rPr>
          <w:lang w:val="ro-RO"/>
        </w:rPr>
        <w:t xml:space="preserve">b) înregistrările prevăzute la lit. a) conțin toate informațiile necesare pentru a stabili dacă sunt respectate criteriile din reglementările europene în domeniu și trebuie păstrate timp de 10 ani de la data la care a fost acordată ultima alocare specifică. </w:t>
      </w:r>
    </w:p>
    <w:p w14:paraId="5F21FCE4" w14:textId="77777777" w:rsidR="007D07FC" w:rsidRDefault="007D07FC" w:rsidP="002356E9">
      <w:pPr>
        <w:ind w:left="567"/>
        <w:rPr>
          <w:lang w:val="ro-RO"/>
        </w:rPr>
      </w:pPr>
      <w:r>
        <w:rPr>
          <w:lang w:val="ro-RO"/>
        </w:rPr>
        <w:t>c) beneficiarii ajutorului de stat trebuie să păstreze toate documentele aferente acestuia timp de 10 ani de la data la care a fost acordată ultima alocare specifică și sunt obligați să le pună la dispoziția Ministerului Transporturilor și Infrastructurii și/sau Consiliului Concurenței ori de câte ori sunt solicitate.</w:t>
      </w:r>
    </w:p>
    <w:p w14:paraId="35EFAB45" w14:textId="77777777" w:rsidR="007D07FC" w:rsidRDefault="007D07FC" w:rsidP="002356E9">
      <w:pPr>
        <w:ind w:left="567"/>
        <w:rPr>
          <w:lang w:val="ro-RO"/>
        </w:rPr>
      </w:pPr>
      <w:r>
        <w:rPr>
          <w:lang w:val="ro-RO"/>
        </w:rPr>
        <w:t xml:space="preserve">d) Ministerul Transporturilor și Infrastructurii are obligația de a transmite Consiliului Concurenței toate datele și informațiile necesare pentru monitorizarea ajutoarelor de stat la nivel național, în formatul și în termenul prevăzut de Regulamentul privind procedurile de monitorizare a ajutoarelor de stat și de </w:t>
      </w:r>
      <w:proofErr w:type="spellStart"/>
      <w:r>
        <w:rPr>
          <w:lang w:val="ro-RO"/>
        </w:rPr>
        <w:t>minimis</w:t>
      </w:r>
      <w:proofErr w:type="spellEnd"/>
      <w:r>
        <w:rPr>
          <w:lang w:val="ro-RO"/>
        </w:rPr>
        <w:t xml:space="preserve">, pus și aplicare prin Ordinul președintelui Consiliului Concurenței nr. 441/2022, precum și datele și informațiile necesare pentru întocmirea inventarului ajutoarelor de stat și a rapoartelor și informărilor necesare îndeplinirii obligațiilor României în calitate de stat membru al Uniunii Europene. </w:t>
      </w:r>
    </w:p>
    <w:p w14:paraId="468A33E2" w14:textId="77777777" w:rsidR="007D07FC" w:rsidRDefault="007D07FC" w:rsidP="002356E9">
      <w:pPr>
        <w:ind w:left="567"/>
        <w:rPr>
          <w:lang w:val="ro-RO"/>
        </w:rPr>
      </w:pPr>
      <w:r>
        <w:rPr>
          <w:lang w:val="ro-RO"/>
        </w:rPr>
        <w:lastRenderedPageBreak/>
        <w:t xml:space="preserve">e) pe baza cererii scrise, </w:t>
      </w:r>
      <w:r w:rsidRPr="009768C4">
        <w:rPr>
          <w:lang w:val="ro-RO"/>
        </w:rPr>
        <w:t>Furnizorul ajutorului de stat</w:t>
      </w:r>
      <w:r>
        <w:rPr>
          <w:lang w:val="ro-RO"/>
        </w:rPr>
        <w:t xml:space="preserve"> va transmite Comisiei Europene, prin intermediul Consiliului Concurenței, în termen de 20 de zile lucrătoare sau în termenul fixat în cerere, toate informațiile pe care Comisia Europeană le consideră necesare pentru evaluarea respectării condițiilor prezentei scheme de ajutor de stat.</w:t>
      </w:r>
    </w:p>
    <w:p w14:paraId="3EF53952" w14:textId="77777777" w:rsidR="007D07FC" w:rsidRDefault="007D07FC" w:rsidP="002356E9">
      <w:pPr>
        <w:ind w:left="567"/>
        <w:rPr>
          <w:lang w:val="ro-RO"/>
        </w:rPr>
      </w:pPr>
      <w:r>
        <w:rPr>
          <w:lang w:val="ro-RO"/>
        </w:rPr>
        <w:t xml:space="preserve">f) beneficiarii ajutorului de stat au obligația de a pune la dispoziția Ministerului Transporturilor și Infrastructurii, în formatul și în termenul solicitat de acesta, toate informațiile necesare în vederea îndeplinirii procedurilor de raportare și monitorizare ce cad în sarcina </w:t>
      </w:r>
      <w:r w:rsidRPr="00CA7A4C">
        <w:rPr>
          <w:lang w:val="ro-RO"/>
        </w:rPr>
        <w:t>Furnizorul ajutorului de stat</w:t>
      </w:r>
      <w:r>
        <w:rPr>
          <w:lang w:val="ro-RO"/>
        </w:rPr>
        <w:t>.</w:t>
      </w:r>
    </w:p>
    <w:p w14:paraId="60A4DEEC" w14:textId="77777777" w:rsidR="007D07FC" w:rsidRDefault="007D07FC" w:rsidP="002356E9">
      <w:pPr>
        <w:ind w:left="567"/>
        <w:rPr>
          <w:lang w:val="ro-RO"/>
        </w:rPr>
      </w:pPr>
      <w:r>
        <w:rPr>
          <w:lang w:val="ro-RO"/>
        </w:rPr>
        <w:t>g) Ministerul Transporturilor și Infrastructurii are obligația să încarce în Registrul general al ajutoarelor de stat acordate în România (</w:t>
      </w:r>
      <w:proofErr w:type="spellStart"/>
      <w:r>
        <w:rPr>
          <w:lang w:val="ro-RO"/>
        </w:rPr>
        <w:t>RegAS</w:t>
      </w:r>
      <w:proofErr w:type="spellEnd"/>
      <w:r>
        <w:rPr>
          <w:lang w:val="ro-RO"/>
        </w:rPr>
        <w:t>) prezenta măsura de ajutor de stat</w:t>
      </w:r>
      <w:r w:rsidRPr="006E7DE8">
        <w:rPr>
          <w:lang w:val="ro-RO"/>
        </w:rPr>
        <w:t>, contractel</w:t>
      </w:r>
      <w:r>
        <w:rPr>
          <w:lang w:val="ro-RO"/>
        </w:rPr>
        <w:t>e</w:t>
      </w:r>
      <w:r w:rsidRPr="006E7DE8">
        <w:rPr>
          <w:lang w:val="ro-RO"/>
        </w:rPr>
        <w:t xml:space="preserve"> de finanțare, plățil</w:t>
      </w:r>
      <w:r>
        <w:rPr>
          <w:lang w:val="ro-RO"/>
        </w:rPr>
        <w:t>e</w:t>
      </w:r>
      <w:r w:rsidRPr="006E7DE8">
        <w:rPr>
          <w:lang w:val="ro-RO"/>
        </w:rPr>
        <w:t xml:space="preserve"> efectuate și eventualel</w:t>
      </w:r>
      <w:r>
        <w:rPr>
          <w:lang w:val="ro-RO"/>
        </w:rPr>
        <w:t>e</w:t>
      </w:r>
      <w:r w:rsidRPr="006E7DE8">
        <w:rPr>
          <w:lang w:val="ro-RO"/>
        </w:rPr>
        <w:t xml:space="preserve"> recuperări, în termen</w:t>
      </w:r>
      <w:r>
        <w:rPr>
          <w:lang w:val="ro-RO"/>
        </w:rPr>
        <w:t>ele prevăzute la</w:t>
      </w:r>
      <w:r w:rsidRPr="000F06EC">
        <w:rPr>
          <w:lang w:val="ro-RO"/>
        </w:rPr>
        <w:t xml:space="preserve"> art. 29 din </w:t>
      </w:r>
      <w:r w:rsidRPr="000F06EC">
        <w:rPr>
          <w:i/>
          <w:iCs/>
          <w:lang w:val="ro-RO"/>
        </w:rPr>
        <w:t>Regulamentul privind Registrul ajutoarelor de stat</w:t>
      </w:r>
      <w:r w:rsidRPr="000F06EC">
        <w:rPr>
          <w:lang w:val="ro-RO"/>
        </w:rPr>
        <w:t>, pus în aplicare prin Ordinul președintelui Consiliului Concurenței nr. 437/2016, cu modificările și completările ulterioare</w:t>
      </w:r>
      <w:r>
        <w:rPr>
          <w:lang w:val="ro-RO"/>
        </w:rPr>
        <w:t>.</w:t>
      </w:r>
    </w:p>
    <w:p w14:paraId="3008DF4C" w14:textId="77777777" w:rsidR="007D07FC" w:rsidRDefault="007D07FC" w:rsidP="002356E9">
      <w:pPr>
        <w:ind w:left="567"/>
        <w:rPr>
          <w:lang w:val="ro-RO"/>
        </w:rPr>
      </w:pPr>
      <w:r>
        <w:rPr>
          <w:lang w:val="ro-RO"/>
        </w:rPr>
        <w:t xml:space="preserve">h) </w:t>
      </w:r>
      <w:r w:rsidRPr="00CA7A4C">
        <w:rPr>
          <w:lang w:val="ro-RO"/>
        </w:rPr>
        <w:t>Furnizorul ajutorului de stat</w:t>
      </w:r>
      <w:r>
        <w:rPr>
          <w:lang w:val="ro-RO"/>
        </w:rPr>
        <w:t xml:space="preserve"> va transmite Consiliului Concurenței Fișa de informații specifică, referitoare la prezenta schemă de ajutor de stat, în forma prevăzută în Anexa II la Regulament, în vederea transmiterii către Comisia Europeană în termen de 20 de zile lucrătoare de la intrarea în vigoare a schemei. </w:t>
      </w:r>
    </w:p>
    <w:p w14:paraId="5F6B3F19" w14:textId="77777777" w:rsidR="007D07FC" w:rsidRDefault="007D07FC" w:rsidP="002356E9">
      <w:pPr>
        <w:ind w:left="567"/>
        <w:rPr>
          <w:lang w:val="ro-RO"/>
        </w:rPr>
      </w:pPr>
    </w:p>
    <w:p w14:paraId="30608FC7" w14:textId="77777777" w:rsidR="007D07FC" w:rsidRDefault="007D07FC" w:rsidP="002356E9">
      <w:pPr>
        <w:ind w:left="567"/>
        <w:rPr>
          <w:lang w:val="ro-RO"/>
        </w:rPr>
      </w:pPr>
      <w:r>
        <w:rPr>
          <w:lang w:val="ro-RO"/>
        </w:rPr>
        <w:t xml:space="preserve">Art. 24 </w:t>
      </w:r>
    </w:p>
    <w:p w14:paraId="03789C24" w14:textId="77777777" w:rsidR="007D07FC" w:rsidRDefault="007D07FC" w:rsidP="002356E9">
      <w:pPr>
        <w:ind w:left="567"/>
        <w:rPr>
          <w:lang w:val="ro-RO"/>
        </w:rPr>
      </w:pPr>
      <w:r w:rsidRPr="00CA7A4C">
        <w:rPr>
          <w:lang w:val="ro-RO"/>
        </w:rPr>
        <w:t>Furnizorul ajutorului de stat</w:t>
      </w:r>
      <w:r w:rsidRPr="006E7DE8">
        <w:rPr>
          <w:lang w:val="ro-RO"/>
        </w:rPr>
        <w:t xml:space="preserve"> transmite Consiliului Concurenței raportări anuale cu privire la implementarea schemei în conformitate cu Regulamentul privind procedurile de monitorizare a ajutoarelor de stat și de </w:t>
      </w:r>
      <w:proofErr w:type="spellStart"/>
      <w:r w:rsidRPr="006E7DE8">
        <w:rPr>
          <w:lang w:val="ro-RO"/>
        </w:rPr>
        <w:t>minimis</w:t>
      </w:r>
      <w:proofErr w:type="spellEnd"/>
      <w:r w:rsidRPr="006E7DE8">
        <w:rPr>
          <w:lang w:val="ro-RO"/>
        </w:rPr>
        <w:t>, pus în aplicare prin Ordinul președintelui Consiliului Concurenței nr. 441/2022, și cu Regulamentul (CE) nr. 794/2004 al Comisiei din 21 aprilie 2004 de punere în aplicare a Regulamentului (CE) nr. 659/1999 al Consiliului de stabilire a normelor de aplicare a articolului 93 din Tratatul CE.</w:t>
      </w:r>
    </w:p>
    <w:p w14:paraId="46630CF1" w14:textId="77777777" w:rsidR="007D07FC" w:rsidRDefault="007D07FC" w:rsidP="002356E9">
      <w:pPr>
        <w:ind w:left="0"/>
        <w:rPr>
          <w:lang w:val="ro-RO"/>
        </w:rPr>
      </w:pPr>
    </w:p>
    <w:p w14:paraId="60F45F27" w14:textId="77777777" w:rsidR="007D07FC" w:rsidRDefault="007D07FC" w:rsidP="002356E9">
      <w:pPr>
        <w:ind w:left="567"/>
        <w:rPr>
          <w:lang w:val="ro-RO"/>
        </w:rPr>
      </w:pPr>
      <w:r>
        <w:rPr>
          <w:lang w:val="ro-RO"/>
        </w:rPr>
        <w:t>Art. 25</w:t>
      </w:r>
    </w:p>
    <w:p w14:paraId="19F340B3" w14:textId="77777777" w:rsidR="007D07FC" w:rsidRDefault="007D07FC" w:rsidP="002356E9">
      <w:pPr>
        <w:ind w:left="567"/>
        <w:rPr>
          <w:lang w:val="ro-RO"/>
        </w:rPr>
      </w:pPr>
      <w:r w:rsidRPr="006E7DE8">
        <w:rPr>
          <w:lang w:val="ro-RO"/>
        </w:rPr>
        <w:t xml:space="preserve">Informațiile prevăzute în anexa III la Regulament privind fiecare ajutor individual care depășește echivalentul în lei a 100.000 euro vor fi comunicate de </w:t>
      </w:r>
      <w:r w:rsidRPr="00CA7A4C">
        <w:rPr>
          <w:lang w:val="ro-RO"/>
        </w:rPr>
        <w:t>Furnizorul ajutorului de stat</w:t>
      </w:r>
      <w:r w:rsidRPr="006E7DE8">
        <w:rPr>
          <w:lang w:val="ro-RO"/>
        </w:rPr>
        <w:t xml:space="preserve"> Consiliului Concurenței pentru a fi publicate pe pagina națională </w:t>
      </w:r>
      <w:r w:rsidRPr="00A81E7E">
        <w:rPr>
          <w:lang w:val="ro-RO"/>
        </w:rPr>
        <w:t>www.ajuto</w:t>
      </w:r>
      <w:r>
        <w:rPr>
          <w:lang w:val="ro-RO"/>
        </w:rPr>
        <w:t>rdestat.ro</w:t>
      </w:r>
    </w:p>
    <w:p w14:paraId="2405CB3A" w14:textId="77777777" w:rsidR="007D07FC" w:rsidRDefault="007D07FC" w:rsidP="002356E9">
      <w:pPr>
        <w:ind w:left="567"/>
        <w:rPr>
          <w:lang w:val="ro-RO"/>
        </w:rPr>
      </w:pPr>
    </w:p>
    <w:p w14:paraId="0D522C64" w14:textId="77777777" w:rsidR="007D07FC" w:rsidRPr="00242920" w:rsidRDefault="007D07FC" w:rsidP="002356E9">
      <w:pPr>
        <w:ind w:left="567"/>
        <w:rPr>
          <w:lang w:val="ro-RO"/>
        </w:rPr>
      </w:pPr>
    </w:p>
    <w:p w14:paraId="247DB446" w14:textId="77777777" w:rsidR="007D07FC" w:rsidRPr="00102FF6" w:rsidRDefault="007D07FC" w:rsidP="002356E9">
      <w:pPr>
        <w:ind w:left="567"/>
        <w:jc w:val="center"/>
        <w:rPr>
          <w:lang w:val="ro-RO"/>
        </w:rPr>
      </w:pPr>
    </w:p>
    <w:p w14:paraId="0579A0E6" w14:textId="77777777" w:rsidR="007D07FC" w:rsidRDefault="007D07FC" w:rsidP="002356E9">
      <w:pPr>
        <w:ind w:left="567"/>
        <w:jc w:val="center"/>
        <w:rPr>
          <w:lang w:val="ro-RO"/>
        </w:rPr>
      </w:pPr>
    </w:p>
    <w:p w14:paraId="261E4543" w14:textId="77777777" w:rsidR="007D07FC" w:rsidRDefault="007D07FC" w:rsidP="002356E9">
      <w:pPr>
        <w:ind w:left="567"/>
        <w:jc w:val="center"/>
        <w:rPr>
          <w:lang w:val="ro-RO"/>
        </w:rPr>
      </w:pPr>
    </w:p>
    <w:p w14:paraId="7253ED89" w14:textId="77777777" w:rsidR="007D07FC" w:rsidRDefault="007D07FC" w:rsidP="002356E9">
      <w:pPr>
        <w:ind w:left="567"/>
        <w:jc w:val="center"/>
        <w:rPr>
          <w:lang w:val="ro-RO"/>
        </w:rPr>
      </w:pPr>
    </w:p>
    <w:p w14:paraId="18CC8494" w14:textId="77777777" w:rsidR="007D07FC" w:rsidRDefault="007D07FC" w:rsidP="002356E9">
      <w:pPr>
        <w:ind w:left="567"/>
        <w:jc w:val="center"/>
        <w:rPr>
          <w:lang w:val="ro-RO"/>
        </w:rPr>
      </w:pPr>
    </w:p>
    <w:p w14:paraId="56410A74" w14:textId="77777777" w:rsidR="00A44A1F" w:rsidRDefault="00A44A1F" w:rsidP="002356E9">
      <w:pPr>
        <w:ind w:left="567"/>
        <w:jc w:val="center"/>
        <w:rPr>
          <w:lang w:val="ro-RO"/>
        </w:rPr>
      </w:pPr>
    </w:p>
    <w:p w14:paraId="26936A26" w14:textId="77777777" w:rsidR="00A44A1F" w:rsidRDefault="00A44A1F" w:rsidP="002356E9">
      <w:pPr>
        <w:ind w:left="567"/>
        <w:jc w:val="center"/>
        <w:rPr>
          <w:lang w:val="ro-RO"/>
        </w:rPr>
      </w:pPr>
    </w:p>
    <w:p w14:paraId="64E309C6" w14:textId="77777777" w:rsidR="00013CE8" w:rsidRDefault="00013CE8" w:rsidP="002356E9">
      <w:pPr>
        <w:ind w:left="567"/>
        <w:jc w:val="center"/>
        <w:rPr>
          <w:lang w:val="ro-RO"/>
        </w:rPr>
      </w:pPr>
    </w:p>
    <w:p w14:paraId="54E871BD" w14:textId="77777777" w:rsidR="00013CE8" w:rsidRDefault="00013CE8" w:rsidP="002356E9">
      <w:pPr>
        <w:ind w:left="567"/>
        <w:jc w:val="center"/>
        <w:rPr>
          <w:lang w:val="ro-RO"/>
        </w:rPr>
      </w:pPr>
    </w:p>
    <w:p w14:paraId="29264536" w14:textId="77777777" w:rsidR="00013CE8" w:rsidRDefault="00013CE8" w:rsidP="002356E9">
      <w:pPr>
        <w:ind w:left="567"/>
        <w:jc w:val="center"/>
        <w:rPr>
          <w:lang w:val="ro-RO"/>
        </w:rPr>
      </w:pPr>
    </w:p>
    <w:p w14:paraId="148941B4" w14:textId="77777777" w:rsidR="00013CE8" w:rsidRDefault="00013CE8" w:rsidP="002356E9">
      <w:pPr>
        <w:ind w:left="567"/>
        <w:jc w:val="center"/>
        <w:rPr>
          <w:lang w:val="ro-RO"/>
        </w:rPr>
      </w:pPr>
    </w:p>
    <w:p w14:paraId="01444BCE" w14:textId="77777777" w:rsidR="00013CE8" w:rsidRDefault="00013CE8" w:rsidP="002356E9">
      <w:pPr>
        <w:ind w:left="0"/>
        <w:rPr>
          <w:lang w:val="ro-RO"/>
        </w:rPr>
      </w:pPr>
    </w:p>
    <w:p w14:paraId="01033AD5" w14:textId="77777777" w:rsidR="00013CE8" w:rsidRPr="005606E6" w:rsidRDefault="00013CE8" w:rsidP="00013CE8">
      <w:pPr>
        <w:ind w:left="567"/>
        <w:jc w:val="center"/>
        <w:rPr>
          <w:lang w:val="ro-RO"/>
        </w:rPr>
      </w:pPr>
      <w:r w:rsidRPr="005606E6">
        <w:rPr>
          <w:lang w:val="ro-RO"/>
        </w:rPr>
        <w:t xml:space="preserve">ANEXA </w:t>
      </w:r>
      <w:r>
        <w:rPr>
          <w:lang w:val="ro-RO"/>
        </w:rPr>
        <w:t>I</w:t>
      </w:r>
    </w:p>
    <w:p w14:paraId="73F4A41D" w14:textId="77777777" w:rsidR="00013CE8" w:rsidRPr="00D42E0F" w:rsidRDefault="00013CE8" w:rsidP="00013CE8">
      <w:pPr>
        <w:ind w:left="567"/>
        <w:jc w:val="center"/>
        <w:rPr>
          <w:lang w:val="ro-RO"/>
        </w:rPr>
      </w:pPr>
      <w:r w:rsidRPr="005606E6">
        <w:rPr>
          <w:lang w:val="ro-RO"/>
        </w:rPr>
        <w:t>Formula de calcul aferentă schemei de ajutor de stat privind sprijinirea investițiilor destinate achiziției de vehicule cu emisii zero pentru transportul rutier și  modernizării vehiculelor pentru transportul feroviar, maritim și pe căi navigabile interioare pentru a se califica drept vehicule nepoluante sau vehicule cu emisii zero</w:t>
      </w:r>
    </w:p>
    <w:p w14:paraId="6E7CB784" w14:textId="77777777" w:rsidR="00013CE8" w:rsidRDefault="00013CE8" w:rsidP="00013CE8">
      <w:pPr>
        <w:ind w:left="567"/>
        <w:rPr>
          <w:lang w:val="ro-RO"/>
        </w:rPr>
      </w:pPr>
    </w:p>
    <w:p w14:paraId="4A2A1685" w14:textId="71446AE3" w:rsidR="00013CE8" w:rsidRDefault="00013CE8" w:rsidP="00013CE8">
      <w:pPr>
        <w:ind w:left="567"/>
        <w:rPr>
          <w:i/>
          <w:iCs/>
          <w:u w:val="single"/>
          <w:lang w:val="ro-RO"/>
        </w:rPr>
      </w:pPr>
      <w:r w:rsidRPr="00013CE8">
        <w:rPr>
          <w:i/>
          <w:iCs/>
          <w:u w:val="single"/>
          <w:lang w:val="ro-RO"/>
        </w:rPr>
        <w:t>Submăsura 1</w:t>
      </w:r>
      <w:r>
        <w:rPr>
          <w:i/>
          <w:iCs/>
          <w:u w:val="single"/>
          <w:lang w:val="ro-RO"/>
        </w:rPr>
        <w:t xml:space="preserve"> </w:t>
      </w:r>
      <w:r w:rsidRPr="00013CE8">
        <w:rPr>
          <w:u w:val="single"/>
          <w:lang w:val="ro-RO"/>
        </w:rPr>
        <w:t>achiziția de vehicule</w:t>
      </w:r>
      <w:r w:rsidRPr="00422620">
        <w:rPr>
          <w:u w:val="single"/>
          <w:lang w:val="ro-RO"/>
        </w:rPr>
        <w:t xml:space="preserve"> cu emisii zero</w:t>
      </w:r>
      <w:r>
        <w:rPr>
          <w:u w:val="single"/>
          <w:lang w:val="ro-RO"/>
        </w:rPr>
        <w:t xml:space="preserve"> pentru transportul rutier</w:t>
      </w:r>
    </w:p>
    <w:p w14:paraId="0727D1F4" w14:textId="14BE817D" w:rsidR="00013CE8" w:rsidRPr="00013CE8" w:rsidRDefault="00013CE8" w:rsidP="00013CE8">
      <w:pPr>
        <w:ind w:left="567"/>
        <w:rPr>
          <w:lang w:val="ro-RO"/>
        </w:rPr>
      </w:pPr>
      <w:r w:rsidRPr="00422620">
        <w:rPr>
          <w:lang w:val="ro-RO"/>
        </w:rPr>
        <w:t>Criteriul 1</w:t>
      </w:r>
      <w:r>
        <w:rPr>
          <w:lang w:val="ro-RO"/>
        </w:rPr>
        <w:t xml:space="preserve">: </w:t>
      </w:r>
    </w:p>
    <w:p w14:paraId="1DAE317E" w14:textId="1E9ED1A7" w:rsidR="00013CE8" w:rsidRPr="00422620" w:rsidRDefault="00013CE8" w:rsidP="00013CE8">
      <w:pPr>
        <w:ind w:left="567"/>
        <w:rPr>
          <w:lang w:val="ro-RO"/>
        </w:rPr>
      </w:pPr>
      <w:r w:rsidRPr="00422620">
        <w:rPr>
          <w:lang w:val="ro-RO"/>
        </w:rPr>
        <w:t>Prețul cel mai mic solicitat pe gCO2 economisit, calculat în funcție de performanța de transport (</w:t>
      </w:r>
      <w:proofErr w:type="spellStart"/>
      <w:r w:rsidRPr="00422620">
        <w:rPr>
          <w:lang w:val="ro-RO"/>
        </w:rPr>
        <w:t>tkm</w:t>
      </w:r>
      <w:proofErr w:type="spellEnd"/>
      <w:r w:rsidRPr="00422620">
        <w:rPr>
          <w:lang w:val="ro-RO"/>
        </w:rPr>
        <w:t>).</w:t>
      </w:r>
    </w:p>
    <w:p w14:paraId="35A3BCE1" w14:textId="4DDDBB39" w:rsidR="00013CE8" w:rsidRDefault="00013CE8" w:rsidP="00013CE8">
      <w:pPr>
        <w:ind w:left="567"/>
        <w:rPr>
          <w:lang w:val="ro-RO"/>
        </w:rPr>
      </w:pPr>
      <w:r w:rsidRPr="00422620">
        <w:rPr>
          <w:lang w:val="ro-RO"/>
        </w:rPr>
        <w:t>Se urmărește ca subvenția publică oferită per gC</w:t>
      </w:r>
      <w:r>
        <w:rPr>
          <w:lang w:val="ro-RO"/>
        </w:rPr>
        <w:t>O</w:t>
      </w:r>
      <w:r w:rsidRPr="00422620">
        <w:rPr>
          <w:vertAlign w:val="subscript"/>
          <w:lang w:val="ro-RO"/>
        </w:rPr>
        <w:t>2</w:t>
      </w:r>
      <w:r>
        <w:rPr>
          <w:lang w:val="ro-RO"/>
        </w:rPr>
        <w:t xml:space="preserve"> economisit</w:t>
      </w:r>
      <w:r w:rsidRPr="00422620">
        <w:rPr>
          <w:lang w:val="ro-RO"/>
        </w:rPr>
        <w:t xml:space="preserve"> să fie cea mai joasă și să se evite </w:t>
      </w:r>
      <w:proofErr w:type="spellStart"/>
      <w:r w:rsidRPr="00422620">
        <w:rPr>
          <w:lang w:val="ro-RO"/>
        </w:rPr>
        <w:t>supracompensarea</w:t>
      </w:r>
      <w:proofErr w:type="spellEnd"/>
      <w:r w:rsidRPr="00422620">
        <w:rPr>
          <w:lang w:val="ro-RO"/>
        </w:rPr>
        <w:t>.</w:t>
      </w:r>
      <w:r>
        <w:rPr>
          <w:lang w:val="ro-RO"/>
        </w:rPr>
        <w:t xml:space="preserve"> </w:t>
      </w:r>
    </w:p>
    <w:p w14:paraId="209E54E2" w14:textId="5F2F5383" w:rsidR="00013CE8" w:rsidRPr="00013CE8" w:rsidRDefault="00013CE8" w:rsidP="00013CE8">
      <w:pPr>
        <w:ind w:left="567"/>
        <w:rPr>
          <w:lang w:val="ro-RO"/>
        </w:rPr>
      </w:pPr>
      <w:r w:rsidRPr="000B1866">
        <w:rPr>
          <w:lang w:val="it-IT"/>
        </w:rPr>
        <w:t>Se va verifica existenta a trei oferte conforme (conțin toate elementele pentru care s-a solicitat ofertare) cu respectarea confidențialității privind datele comerciale, precum și procesul verbal de adjudecare al ofertei câștigătoare.</w:t>
      </w:r>
    </w:p>
    <w:p w14:paraId="752B3232" w14:textId="443A5153" w:rsidR="00013CE8" w:rsidRPr="000B1866" w:rsidRDefault="00013CE8" w:rsidP="00013CE8">
      <w:pPr>
        <w:ind w:left="567"/>
        <w:rPr>
          <w:lang w:val="it-IT"/>
        </w:rPr>
      </w:pPr>
      <w:r w:rsidRPr="000B1866">
        <w:rPr>
          <w:lang w:val="it-IT"/>
        </w:rPr>
        <w:t xml:space="preserve"> Acordarea punctajului se va face</w:t>
      </w:r>
      <w:r>
        <w:rPr>
          <w:lang w:val="it-IT"/>
        </w:rPr>
        <w:t xml:space="preserve"> la calculul diferenței, conform anexă II</w:t>
      </w:r>
      <w:r w:rsidRPr="000B1866">
        <w:rPr>
          <w:lang w:val="it-IT"/>
        </w:rPr>
        <w:t xml:space="preserve">: </w:t>
      </w:r>
    </w:p>
    <w:p w14:paraId="1531AF0A" w14:textId="4E646574" w:rsidR="00013CE8" w:rsidRPr="000B1866" w:rsidRDefault="00013CE8" w:rsidP="00013CE8">
      <w:pPr>
        <w:ind w:left="567"/>
        <w:rPr>
          <w:lang w:val="it-IT"/>
        </w:rPr>
      </w:pPr>
      <w:r w:rsidRPr="000B1866">
        <w:rPr>
          <w:lang w:val="it-IT"/>
        </w:rPr>
        <w:t xml:space="preserve"> Prețul cel mai  mic (Euro/</w:t>
      </w:r>
      <w:r>
        <w:rPr>
          <w:lang w:val="it-IT"/>
        </w:rPr>
        <w:t>gCO</w:t>
      </w:r>
      <w:r w:rsidRPr="00422620">
        <w:rPr>
          <w:vertAlign w:val="subscript"/>
          <w:lang w:val="it-IT"/>
        </w:rPr>
        <w:t>2</w:t>
      </w:r>
      <w:r w:rsidRPr="000B1866">
        <w:rPr>
          <w:lang w:val="it-IT"/>
        </w:rPr>
        <w:t xml:space="preserve">) - </w:t>
      </w:r>
      <w:r>
        <w:rPr>
          <w:lang w:val="it-IT"/>
        </w:rPr>
        <w:t>9</w:t>
      </w:r>
      <w:r w:rsidRPr="000B1866">
        <w:rPr>
          <w:lang w:val="it-IT"/>
        </w:rPr>
        <w:t xml:space="preserve">0 pct </w:t>
      </w:r>
    </w:p>
    <w:p w14:paraId="2E14C450" w14:textId="7C94F49E" w:rsidR="00013CE8" w:rsidRPr="000B1866" w:rsidRDefault="00013CE8" w:rsidP="00013CE8">
      <w:pPr>
        <w:ind w:left="567"/>
        <w:rPr>
          <w:lang w:val="it-IT"/>
        </w:rPr>
      </w:pPr>
      <w:r w:rsidRPr="000B1866">
        <w:rPr>
          <w:lang w:val="it-IT"/>
        </w:rPr>
        <w:t>Prețul cel mai mare  (Euro/</w:t>
      </w:r>
      <w:r w:rsidRPr="00422620">
        <w:rPr>
          <w:lang w:val="it-IT"/>
        </w:rPr>
        <w:t xml:space="preserve"> </w:t>
      </w:r>
      <w:r>
        <w:rPr>
          <w:lang w:val="it-IT"/>
        </w:rPr>
        <w:t>gCO</w:t>
      </w:r>
      <w:r w:rsidRPr="00422620">
        <w:rPr>
          <w:vertAlign w:val="subscript"/>
          <w:lang w:val="it-IT"/>
        </w:rPr>
        <w:t>2</w:t>
      </w:r>
      <w:r w:rsidRPr="000B1866">
        <w:rPr>
          <w:lang w:val="it-IT"/>
        </w:rPr>
        <w:t xml:space="preserve">) - 0 pct </w:t>
      </w:r>
    </w:p>
    <w:p w14:paraId="6DBBF4F2" w14:textId="79795DA9" w:rsidR="00013CE8" w:rsidRPr="000B1866" w:rsidRDefault="00013CE8" w:rsidP="00013CE8">
      <w:pPr>
        <w:ind w:left="567"/>
        <w:rPr>
          <w:lang w:val="it-IT"/>
        </w:rPr>
      </w:pPr>
      <w:r w:rsidRPr="000B1866">
        <w:rPr>
          <w:lang w:val="it-IT"/>
        </w:rPr>
        <w:t>Valorile intermediare ale ajutorului de stat solicitat (Euro/</w:t>
      </w:r>
      <w:r w:rsidRPr="00422620">
        <w:rPr>
          <w:lang w:val="it-IT"/>
        </w:rPr>
        <w:t xml:space="preserve"> </w:t>
      </w:r>
      <w:r>
        <w:rPr>
          <w:lang w:val="it-IT"/>
        </w:rPr>
        <w:t>gCO</w:t>
      </w:r>
      <w:r w:rsidRPr="00422620">
        <w:rPr>
          <w:vertAlign w:val="subscript"/>
          <w:lang w:val="it-IT"/>
        </w:rPr>
        <w:t>2</w:t>
      </w:r>
      <w:r w:rsidRPr="000B1866">
        <w:rPr>
          <w:lang w:val="it-IT"/>
        </w:rPr>
        <w:t xml:space="preserve">) se calculează conform ecuației dreptei: ax + b = y, </w:t>
      </w:r>
    </w:p>
    <w:p w14:paraId="5EB0D77B" w14:textId="77777777" w:rsidR="00013CE8" w:rsidRPr="000B1866" w:rsidRDefault="00013CE8" w:rsidP="00013CE8">
      <w:pPr>
        <w:ind w:left="567"/>
        <w:rPr>
          <w:lang w:val="it-IT"/>
        </w:rPr>
      </w:pPr>
      <w:r w:rsidRPr="000B1866">
        <w:rPr>
          <w:lang w:val="it-IT"/>
        </w:rPr>
        <w:t>Pentru a determina coeficienții a și b ai ecuației dreptei ax+b=y, putem folosi două punte cunoscute ale dreptei, astfel:</w:t>
      </w:r>
    </w:p>
    <w:p w14:paraId="4147755B" w14:textId="77777777" w:rsidR="00013CE8" w:rsidRPr="000B1866" w:rsidRDefault="00013CE8" w:rsidP="00013CE8">
      <w:pPr>
        <w:ind w:left="567"/>
        <w:rPr>
          <w:lang w:val="it-IT"/>
        </w:rPr>
      </w:pPr>
      <w:r w:rsidRPr="000B1866">
        <w:rPr>
          <w:lang w:val="it-IT"/>
        </w:rPr>
        <w:t>1. (xmax, 0)</w:t>
      </w:r>
    </w:p>
    <w:p w14:paraId="6D6DFE92" w14:textId="77777777" w:rsidR="00013CE8" w:rsidRPr="000B1866" w:rsidRDefault="00013CE8" w:rsidP="00013CE8">
      <w:pPr>
        <w:ind w:left="567"/>
        <w:rPr>
          <w:lang w:val="it-IT"/>
        </w:rPr>
      </w:pPr>
      <w:r w:rsidRPr="000B1866">
        <w:rPr>
          <w:lang w:val="it-IT"/>
        </w:rPr>
        <w:t xml:space="preserve">2. (xmin, </w:t>
      </w:r>
      <w:r>
        <w:rPr>
          <w:lang w:val="it-IT"/>
        </w:rPr>
        <w:t>9</w:t>
      </w:r>
      <w:r w:rsidRPr="000B1866">
        <w:rPr>
          <w:lang w:val="it-IT"/>
        </w:rPr>
        <w:t>0)</w:t>
      </w:r>
    </w:p>
    <w:p w14:paraId="2FCC1110" w14:textId="400B1DCC" w:rsidR="00013CE8" w:rsidRPr="000B1866" w:rsidRDefault="00013CE8" w:rsidP="00013CE8">
      <w:pPr>
        <w:ind w:left="567"/>
        <w:rPr>
          <w:lang w:val="it-IT"/>
        </w:rPr>
      </w:pPr>
      <w:r w:rsidRPr="000B1866">
        <w:rPr>
          <w:lang w:val="it-IT"/>
        </w:rPr>
        <w:t xml:space="preserve">Unde: xmax este prețul cel mai mare solicitat pe </w:t>
      </w:r>
      <w:r>
        <w:rPr>
          <w:lang w:val="it-IT"/>
        </w:rPr>
        <w:t>gCO</w:t>
      </w:r>
      <w:r w:rsidRPr="00422620">
        <w:rPr>
          <w:vertAlign w:val="subscript"/>
          <w:lang w:val="it-IT"/>
        </w:rPr>
        <w:t>2</w:t>
      </w:r>
      <w:r>
        <w:rPr>
          <w:vertAlign w:val="subscript"/>
          <w:lang w:val="it-IT"/>
        </w:rPr>
        <w:t xml:space="preserve"> </w:t>
      </w:r>
      <w:r>
        <w:rPr>
          <w:lang w:val="it-IT"/>
        </w:rPr>
        <w:t>economisit</w:t>
      </w:r>
    </w:p>
    <w:p w14:paraId="42B76D8D" w14:textId="3D9B72E3" w:rsidR="00013CE8" w:rsidRPr="000B1866" w:rsidRDefault="00013CE8" w:rsidP="00013CE8">
      <w:pPr>
        <w:ind w:left="567"/>
        <w:rPr>
          <w:lang w:val="it-IT"/>
        </w:rPr>
      </w:pPr>
      <w:r w:rsidRPr="000B1866">
        <w:rPr>
          <w:lang w:val="it-IT"/>
        </w:rPr>
        <w:tab/>
        <w:t>xmin este prețul cel mai mic solicitat pe</w:t>
      </w:r>
      <w:r>
        <w:rPr>
          <w:lang w:val="it-IT"/>
        </w:rPr>
        <w:t xml:space="preserve"> gCO</w:t>
      </w:r>
      <w:r w:rsidRPr="00422620">
        <w:rPr>
          <w:vertAlign w:val="subscript"/>
          <w:lang w:val="it-IT"/>
        </w:rPr>
        <w:t>2</w:t>
      </w:r>
      <w:r>
        <w:rPr>
          <w:vertAlign w:val="subscript"/>
          <w:lang w:val="it-IT"/>
        </w:rPr>
        <w:t xml:space="preserve"> </w:t>
      </w:r>
      <w:r>
        <w:rPr>
          <w:lang w:val="it-IT"/>
        </w:rPr>
        <w:t>economisit</w:t>
      </w:r>
    </w:p>
    <w:p w14:paraId="11F292CB" w14:textId="77777777" w:rsidR="00013CE8" w:rsidRPr="000B1866" w:rsidRDefault="00013CE8" w:rsidP="00013CE8">
      <w:pPr>
        <w:ind w:left="567"/>
        <w:rPr>
          <w:lang w:val="it-IT"/>
        </w:rPr>
      </w:pPr>
      <w:r w:rsidRPr="000B1866">
        <w:rPr>
          <w:lang w:val="it-IT"/>
        </w:rPr>
        <w:t xml:space="preserve">Se consideră xmin = A, xmax = B, astfel punctele devin 1. (B, 0), 2. (A, </w:t>
      </w:r>
      <w:r>
        <w:rPr>
          <w:lang w:val="it-IT"/>
        </w:rPr>
        <w:t>9</w:t>
      </w:r>
      <w:r w:rsidRPr="000B1866">
        <w:rPr>
          <w:lang w:val="it-IT"/>
        </w:rPr>
        <w:t>0), rezultând două ecuații:</w:t>
      </w:r>
    </w:p>
    <w:p w14:paraId="21F61DAF" w14:textId="77777777" w:rsidR="00013CE8" w:rsidRPr="000B1866" w:rsidRDefault="00013CE8" w:rsidP="00013CE8">
      <w:pPr>
        <w:ind w:left="567"/>
        <w:rPr>
          <w:lang w:val="it-IT"/>
        </w:rPr>
      </w:pPr>
      <w:r w:rsidRPr="000B1866">
        <w:rPr>
          <w:lang w:val="it-IT"/>
        </w:rPr>
        <w:t>1. aB + b= 0</w:t>
      </w:r>
    </w:p>
    <w:p w14:paraId="79DD954B" w14:textId="77777777" w:rsidR="00013CE8" w:rsidRPr="000B1866" w:rsidRDefault="00013CE8" w:rsidP="00013CE8">
      <w:pPr>
        <w:ind w:left="567"/>
        <w:rPr>
          <w:lang w:val="it-IT"/>
        </w:rPr>
      </w:pPr>
      <w:r w:rsidRPr="000B1866">
        <w:rPr>
          <w:lang w:val="it-IT"/>
        </w:rPr>
        <w:t xml:space="preserve">2. aA +b= </w:t>
      </w:r>
      <w:r>
        <w:rPr>
          <w:lang w:val="it-IT"/>
        </w:rPr>
        <w:t>9</w:t>
      </w:r>
      <w:r w:rsidRPr="000B1866">
        <w:rPr>
          <w:lang w:val="it-IT"/>
        </w:rPr>
        <w:t>0</w:t>
      </w:r>
    </w:p>
    <w:p w14:paraId="44B54C77" w14:textId="77777777" w:rsidR="00013CE8" w:rsidRPr="000B1866" w:rsidRDefault="00013CE8" w:rsidP="00013CE8">
      <w:pPr>
        <w:ind w:left="567"/>
        <w:rPr>
          <w:lang w:val="it-IT"/>
        </w:rPr>
      </w:pPr>
      <w:r w:rsidRPr="000B1866">
        <w:rPr>
          <w:lang w:val="it-IT"/>
        </w:rPr>
        <w:t>Pasul 1: b= -aB</w:t>
      </w:r>
    </w:p>
    <w:p w14:paraId="7A43528F" w14:textId="77777777" w:rsidR="00013CE8" w:rsidRPr="000B1866" w:rsidRDefault="00013CE8" w:rsidP="00013CE8">
      <w:pPr>
        <w:ind w:left="567"/>
        <w:rPr>
          <w:lang w:val="it-IT"/>
        </w:rPr>
      </w:pPr>
      <w:r w:rsidRPr="000B1866">
        <w:rPr>
          <w:lang w:val="it-IT"/>
        </w:rPr>
        <w:t>Pasul 2: înlocuirea lui b în a doua ecuație</w:t>
      </w:r>
    </w:p>
    <w:p w14:paraId="03C33648" w14:textId="77777777" w:rsidR="00013CE8" w:rsidRPr="000B1866" w:rsidRDefault="00013CE8" w:rsidP="00013CE8">
      <w:pPr>
        <w:ind w:left="567"/>
        <w:rPr>
          <w:lang w:val="it-IT"/>
        </w:rPr>
      </w:pPr>
      <w:r w:rsidRPr="000B1866">
        <w:rPr>
          <w:lang w:val="it-IT"/>
        </w:rPr>
        <w:t xml:space="preserve">aA – aB = </w:t>
      </w:r>
      <w:r>
        <w:rPr>
          <w:lang w:val="it-IT"/>
        </w:rPr>
        <w:t>9</w:t>
      </w:r>
      <w:r w:rsidRPr="000B1866">
        <w:rPr>
          <w:lang w:val="it-IT"/>
        </w:rPr>
        <w:t>0</w:t>
      </w:r>
    </w:p>
    <w:p w14:paraId="73062538" w14:textId="77777777" w:rsidR="00013CE8" w:rsidRPr="000B1866" w:rsidRDefault="00013CE8" w:rsidP="00013CE8">
      <w:pPr>
        <w:ind w:left="567"/>
        <w:rPr>
          <w:lang w:val="it-IT"/>
        </w:rPr>
      </w:pPr>
      <w:r w:rsidRPr="000B1866">
        <w:rPr>
          <w:lang w:val="it-IT"/>
        </w:rPr>
        <w:lastRenderedPageBreak/>
        <w:t>a(A-B)=</w:t>
      </w:r>
      <w:r>
        <w:rPr>
          <w:lang w:val="it-IT"/>
        </w:rPr>
        <w:t>9</w:t>
      </w:r>
      <w:r w:rsidRPr="000B1866">
        <w:rPr>
          <w:lang w:val="it-IT"/>
        </w:rPr>
        <w:t>0, a=</w:t>
      </w:r>
      <w:r>
        <w:rPr>
          <w:lang w:val="it-IT"/>
        </w:rPr>
        <w:t>9</w:t>
      </w:r>
      <w:r w:rsidRPr="000B1866">
        <w:rPr>
          <w:lang w:val="it-IT"/>
        </w:rPr>
        <w:t>0/A-B</w:t>
      </w:r>
    </w:p>
    <w:p w14:paraId="4DCED6F8" w14:textId="77777777" w:rsidR="00013CE8" w:rsidRPr="000B1866" w:rsidRDefault="00013CE8" w:rsidP="00013CE8">
      <w:pPr>
        <w:ind w:left="567"/>
        <w:rPr>
          <w:lang w:val="it-IT"/>
        </w:rPr>
      </w:pPr>
      <w:r w:rsidRPr="000B1866">
        <w:rPr>
          <w:lang w:val="it-IT"/>
        </w:rPr>
        <w:t>Pasul 3: determinarea lui b</w:t>
      </w:r>
    </w:p>
    <w:p w14:paraId="1319CB3A" w14:textId="77777777" w:rsidR="00013CE8" w:rsidRPr="000B1866" w:rsidRDefault="00013CE8" w:rsidP="00013CE8">
      <w:pPr>
        <w:ind w:left="567"/>
        <w:rPr>
          <w:lang w:val="en-GB"/>
        </w:rPr>
      </w:pPr>
      <w:r w:rsidRPr="000B1866">
        <w:rPr>
          <w:lang w:val="en-GB"/>
        </w:rPr>
        <w:t>b= -</w:t>
      </w:r>
      <w:proofErr w:type="spellStart"/>
      <w:r w:rsidRPr="000B1866">
        <w:rPr>
          <w:lang w:val="en-GB"/>
        </w:rPr>
        <w:t>aB</w:t>
      </w:r>
      <w:proofErr w:type="spellEnd"/>
    </w:p>
    <w:p w14:paraId="5F962F75" w14:textId="77777777" w:rsidR="00013CE8" w:rsidRPr="000B1866" w:rsidRDefault="00013CE8" w:rsidP="00013CE8">
      <w:pPr>
        <w:ind w:left="567"/>
        <w:rPr>
          <w:lang w:val="en-GB"/>
        </w:rPr>
      </w:pPr>
      <w:r w:rsidRPr="000B1866">
        <w:rPr>
          <w:lang w:val="en-GB"/>
        </w:rPr>
        <w:t>b= -</w:t>
      </w:r>
      <w:r>
        <w:rPr>
          <w:lang w:val="en-GB"/>
        </w:rPr>
        <w:t>9</w:t>
      </w:r>
      <w:r w:rsidRPr="000B1866">
        <w:rPr>
          <w:lang w:val="en-GB"/>
        </w:rPr>
        <w:t>0/(A-B) *B</w:t>
      </w:r>
    </w:p>
    <w:p w14:paraId="1FA78EF8" w14:textId="77777777" w:rsidR="00013CE8" w:rsidRPr="000B1866" w:rsidRDefault="00013CE8" w:rsidP="00013CE8">
      <w:pPr>
        <w:ind w:left="567"/>
        <w:rPr>
          <w:lang w:val="en-GB"/>
        </w:rPr>
      </w:pPr>
      <w:r w:rsidRPr="000B1866">
        <w:rPr>
          <w:lang w:val="en-GB"/>
        </w:rPr>
        <w:t xml:space="preserve">b= </w:t>
      </w:r>
      <w:r>
        <w:rPr>
          <w:lang w:val="en-GB"/>
        </w:rPr>
        <w:t>9</w:t>
      </w:r>
      <w:r w:rsidRPr="000B1866">
        <w:rPr>
          <w:lang w:val="en-GB"/>
        </w:rPr>
        <w:t>0B/A-B</w:t>
      </w:r>
    </w:p>
    <w:p w14:paraId="7A249668" w14:textId="4864FF54" w:rsidR="00013CE8" w:rsidRPr="005606E6" w:rsidRDefault="00013CE8" w:rsidP="00013CE8">
      <w:pPr>
        <w:ind w:left="567"/>
        <w:rPr>
          <w:lang w:val="fr-FR"/>
        </w:rPr>
      </w:pPr>
      <w:proofErr w:type="spellStart"/>
      <w:r w:rsidRPr="005606E6">
        <w:rPr>
          <w:lang w:val="fr-FR"/>
        </w:rPr>
        <w:t>Astfel</w:t>
      </w:r>
      <w:proofErr w:type="spellEnd"/>
      <w:r w:rsidRPr="005606E6">
        <w:rPr>
          <w:lang w:val="fr-FR"/>
        </w:rPr>
        <w:t xml:space="preserve"> </w:t>
      </w:r>
      <w:proofErr w:type="spellStart"/>
      <w:r w:rsidRPr="005606E6">
        <w:rPr>
          <w:lang w:val="fr-FR"/>
        </w:rPr>
        <w:t>ecuația</w:t>
      </w:r>
      <w:proofErr w:type="spellEnd"/>
      <w:r w:rsidRPr="005606E6">
        <w:rPr>
          <w:lang w:val="fr-FR"/>
        </w:rPr>
        <w:t xml:space="preserve"> devine </w:t>
      </w:r>
      <w:r w:rsidRPr="005606E6">
        <w:rPr>
          <w:color w:val="FF0000"/>
          <w:lang w:val="fr-FR"/>
        </w:rPr>
        <w:t>y= 90/ (</w:t>
      </w:r>
      <w:r w:rsidR="00F36AB5">
        <w:rPr>
          <w:color w:val="FF0000"/>
          <w:lang w:val="fr-FR"/>
        </w:rPr>
        <w:t>A</w:t>
      </w:r>
      <w:r w:rsidRPr="005606E6">
        <w:rPr>
          <w:color w:val="FF0000"/>
          <w:lang w:val="fr-FR"/>
        </w:rPr>
        <w:t>-</w:t>
      </w:r>
      <w:proofErr w:type="gramStart"/>
      <w:r w:rsidRPr="005606E6">
        <w:rPr>
          <w:color w:val="FF0000"/>
          <w:lang w:val="fr-FR"/>
        </w:rPr>
        <w:t>B)*</w:t>
      </w:r>
      <w:proofErr w:type="gramEnd"/>
      <w:r w:rsidRPr="005606E6">
        <w:rPr>
          <w:color w:val="FF0000"/>
          <w:lang w:val="fr-FR"/>
        </w:rPr>
        <w:t>x – 90B/A-B</w:t>
      </w:r>
    </w:p>
    <w:p w14:paraId="68AB1D92" w14:textId="25E2BFBA" w:rsidR="00013CE8" w:rsidRPr="00422620" w:rsidRDefault="00013CE8" w:rsidP="00013CE8">
      <w:pPr>
        <w:ind w:left="567"/>
        <w:rPr>
          <w:lang w:val="ro-RO"/>
        </w:rPr>
      </w:pPr>
      <w:r w:rsidRPr="00422620">
        <w:rPr>
          <w:lang w:val="ro-RO"/>
        </w:rPr>
        <w:t>Pentru a calcula y în funcție de prețul per gCO2 economisit solicitat x, utilizăm ecuația marcată cu roșu.</w:t>
      </w:r>
    </w:p>
    <w:p w14:paraId="079A6BBE" w14:textId="06E1FCB8" w:rsidR="00013CE8" w:rsidRPr="00422620" w:rsidRDefault="00013CE8" w:rsidP="00013CE8">
      <w:pPr>
        <w:ind w:left="567"/>
        <w:rPr>
          <w:lang w:val="ro-RO"/>
        </w:rPr>
      </w:pPr>
      <w:r w:rsidRPr="00422620">
        <w:rPr>
          <w:lang w:val="ro-RO"/>
        </w:rPr>
        <w:t>Astfel dacă avem prețul per gCO</w:t>
      </w:r>
      <w:r w:rsidRPr="00422620">
        <w:rPr>
          <w:vertAlign w:val="subscript"/>
          <w:lang w:val="ro-RO"/>
        </w:rPr>
        <w:t xml:space="preserve">2 </w:t>
      </w:r>
      <w:r w:rsidRPr="00422620">
        <w:rPr>
          <w:lang w:val="ro-RO"/>
        </w:rPr>
        <w:t xml:space="preserve">economisit min și maxim (A și B) putem calcula punctajul obținut pentru orice valoare x. </w:t>
      </w:r>
    </w:p>
    <w:p w14:paraId="4A241B9C" w14:textId="40B29842" w:rsidR="00013CE8" w:rsidRPr="00422620" w:rsidRDefault="00013CE8" w:rsidP="00013CE8">
      <w:pPr>
        <w:ind w:left="567"/>
        <w:rPr>
          <w:u w:val="single"/>
          <w:lang w:val="ro-RO"/>
        </w:rPr>
      </w:pPr>
      <w:r w:rsidRPr="00422620">
        <w:rPr>
          <w:u w:val="single"/>
          <w:lang w:val="ro-RO"/>
        </w:rPr>
        <w:t xml:space="preserve">Criteriul </w:t>
      </w:r>
      <w:r>
        <w:rPr>
          <w:u w:val="single"/>
          <w:lang w:val="ro-RO"/>
        </w:rPr>
        <w:t>2</w:t>
      </w:r>
      <w:r w:rsidRPr="00422620">
        <w:rPr>
          <w:u w:val="single"/>
          <w:lang w:val="ro-RO"/>
        </w:rPr>
        <w:t xml:space="preserve">: </w:t>
      </w:r>
    </w:p>
    <w:p w14:paraId="6644035D" w14:textId="77777777" w:rsidR="00013CE8" w:rsidRPr="00422620" w:rsidRDefault="00013CE8" w:rsidP="00013CE8">
      <w:pPr>
        <w:ind w:left="567"/>
        <w:rPr>
          <w:lang w:val="ro-RO"/>
        </w:rPr>
      </w:pPr>
      <w:r w:rsidRPr="00422620">
        <w:rPr>
          <w:lang w:val="ro-RO"/>
        </w:rPr>
        <w:t xml:space="preserve">10% din totalul criteriilor de selecție utilizate pentru clasificarea solicitărilor și, în cele din urmă, pentru alocarea ajutorului în cadrul sesiunii concurențiale aferente ambelor submăsuri se definesc </w:t>
      </w:r>
      <w:r w:rsidRPr="00D16DFB">
        <w:rPr>
          <w:lang w:val="ro-RO"/>
        </w:rPr>
        <w:t>pentru utilizarea energiei regenerabile pentru încărcarea vehiculelor.</w:t>
      </w:r>
    </w:p>
    <w:p w14:paraId="69771288" w14:textId="12EC1777" w:rsidR="00013CE8" w:rsidRPr="005606E6" w:rsidRDefault="00013CE8" w:rsidP="00013CE8">
      <w:pPr>
        <w:ind w:left="567"/>
        <w:rPr>
          <w:lang w:val="ro-RO"/>
        </w:rPr>
      </w:pPr>
      <w:r w:rsidRPr="005606E6">
        <w:rPr>
          <w:lang w:val="ro-RO"/>
        </w:rPr>
        <w:t xml:space="preserve">În cazul în care nu </w:t>
      </w:r>
      <w:r>
        <w:rPr>
          <w:lang w:val="ro-RO"/>
        </w:rPr>
        <w:t>se va utiliza energie regenerabilă pentru încărcarea vehiculelor</w:t>
      </w:r>
      <w:r w:rsidRPr="005606E6">
        <w:rPr>
          <w:lang w:val="ro-RO"/>
        </w:rPr>
        <w:t xml:space="preserve">, </w:t>
      </w:r>
      <w:r>
        <w:rPr>
          <w:lang w:val="ro-RO"/>
        </w:rPr>
        <w:t>nu se va acorda punctajul de 1</w:t>
      </w:r>
      <w:r w:rsidRPr="005606E6">
        <w:rPr>
          <w:lang w:val="ro-RO"/>
        </w:rPr>
        <w:t>0 puncte</w:t>
      </w:r>
      <w:r>
        <w:rPr>
          <w:lang w:val="ro-RO"/>
        </w:rPr>
        <w:t>.</w:t>
      </w:r>
    </w:p>
    <w:p w14:paraId="5743B769" w14:textId="77777777" w:rsidR="003E790C" w:rsidRDefault="00013CE8" w:rsidP="003E790C">
      <w:pPr>
        <w:ind w:left="567"/>
        <w:rPr>
          <w:lang w:val="ro-RO"/>
        </w:rPr>
      </w:pPr>
      <w:r w:rsidRPr="003E790C">
        <w:rPr>
          <w:lang w:val="ro-RO"/>
        </w:rPr>
        <w:t>Pentru criteriul 2 nu se acordă punctaj intermediar.</w:t>
      </w:r>
    </w:p>
    <w:p w14:paraId="6DEEFE74" w14:textId="5BE02AC2" w:rsidR="00013CE8" w:rsidRPr="003E790C" w:rsidRDefault="00013CE8" w:rsidP="003E790C">
      <w:pPr>
        <w:ind w:left="567"/>
        <w:rPr>
          <w:lang w:val="ro-RO"/>
        </w:rPr>
      </w:pPr>
      <w:r w:rsidRPr="003E790C">
        <w:rPr>
          <w:lang w:val="ro-RO"/>
        </w:rPr>
        <w:t>Notă: acordarea punctajului final va fi posibilă numai după închiderea sesiunii de depunere a cererilor de finanțare.</w:t>
      </w:r>
    </w:p>
    <w:p w14:paraId="04A4AC65" w14:textId="77777777" w:rsidR="00013CE8" w:rsidRPr="003E790C" w:rsidRDefault="00013CE8" w:rsidP="00013CE8">
      <w:pPr>
        <w:ind w:left="567"/>
        <w:rPr>
          <w:lang w:val="ro-RO"/>
        </w:rPr>
      </w:pPr>
      <w:r w:rsidRPr="003E790C">
        <w:rPr>
          <w:lang w:val="ro-RO"/>
        </w:rPr>
        <w:t>În urma evaluării tuturor criteriilor de selecție, solicitarea de sprijin va primi un punctaj între 0 și maximum 100 de puncte.</w:t>
      </w:r>
    </w:p>
    <w:p w14:paraId="3C7642BC" w14:textId="26A8D086" w:rsidR="00013CE8" w:rsidRPr="003E790C" w:rsidRDefault="00013CE8" w:rsidP="00013CE8">
      <w:pPr>
        <w:ind w:left="567"/>
        <w:rPr>
          <w:lang w:val="ro-RO"/>
        </w:rPr>
      </w:pPr>
      <w:r w:rsidRPr="003E790C">
        <w:rPr>
          <w:lang w:val="ro-RO"/>
        </w:rPr>
        <w:t xml:space="preserve">Conform criteriului 1 -  prețul cel mai mic solicitat </w:t>
      </w:r>
      <w:r w:rsidR="003E790C" w:rsidRPr="003E790C">
        <w:rPr>
          <w:lang w:val="ro-RO"/>
        </w:rPr>
        <w:t>p</w:t>
      </w:r>
      <w:r w:rsidR="003E790C">
        <w:rPr>
          <w:lang w:val="ro-RO"/>
        </w:rPr>
        <w:t xml:space="preserve">e </w:t>
      </w:r>
      <w:r w:rsidR="003E790C" w:rsidRPr="00422620">
        <w:rPr>
          <w:lang w:val="ro-RO"/>
        </w:rPr>
        <w:t>gCO</w:t>
      </w:r>
      <w:r w:rsidR="003E790C" w:rsidRPr="00422620">
        <w:rPr>
          <w:vertAlign w:val="subscript"/>
          <w:lang w:val="ro-RO"/>
        </w:rPr>
        <w:t xml:space="preserve">2 </w:t>
      </w:r>
      <w:r w:rsidR="003E790C" w:rsidRPr="00422620">
        <w:rPr>
          <w:lang w:val="ro-RO"/>
        </w:rPr>
        <w:t xml:space="preserve">economisit </w:t>
      </w:r>
      <w:r w:rsidRPr="003E790C">
        <w:rPr>
          <w:lang w:val="ro-RO"/>
        </w:rPr>
        <w:t>(</w:t>
      </w:r>
      <w:r w:rsidR="003E790C">
        <w:rPr>
          <w:lang w:val="ro-RO"/>
        </w:rPr>
        <w:t>9</w:t>
      </w:r>
      <w:r w:rsidRPr="003E790C">
        <w:rPr>
          <w:lang w:val="ro-RO"/>
        </w:rPr>
        <w:t xml:space="preserve">0 puncte) și criteriului 2 </w:t>
      </w:r>
      <w:r w:rsidR="003E790C">
        <w:rPr>
          <w:lang w:val="ro-RO"/>
        </w:rPr>
        <w:t>–</w:t>
      </w:r>
      <w:r w:rsidRPr="003E790C">
        <w:rPr>
          <w:lang w:val="ro-RO"/>
        </w:rPr>
        <w:t xml:space="preserve"> </w:t>
      </w:r>
      <w:r w:rsidR="003E790C">
        <w:rPr>
          <w:lang w:val="ro-RO"/>
        </w:rPr>
        <w:t>utilizarea energiei regenerabile pentru încărcarea vehiculelor achiziționate</w:t>
      </w:r>
      <w:r w:rsidRPr="003E790C">
        <w:rPr>
          <w:lang w:val="ro-RO"/>
        </w:rPr>
        <w:t xml:space="preserve"> (</w:t>
      </w:r>
      <w:r w:rsidR="003E790C">
        <w:rPr>
          <w:lang w:val="ro-RO"/>
        </w:rPr>
        <w:t xml:space="preserve">10 </w:t>
      </w:r>
      <w:r w:rsidRPr="003E790C">
        <w:rPr>
          <w:lang w:val="ro-RO"/>
        </w:rPr>
        <w:t>puncte), vor obține un punctaj maxim (</w:t>
      </w:r>
      <w:r w:rsidR="003E790C">
        <w:rPr>
          <w:lang w:val="ro-RO"/>
        </w:rPr>
        <w:t>100</w:t>
      </w:r>
      <w:r w:rsidRPr="003E790C">
        <w:rPr>
          <w:lang w:val="ro-RO"/>
        </w:rPr>
        <w:t xml:space="preserve"> puncte). </w:t>
      </w:r>
    </w:p>
    <w:p w14:paraId="256F62CB" w14:textId="685A6B37" w:rsidR="00013CE8" w:rsidRPr="00B44A9C" w:rsidRDefault="00013CE8" w:rsidP="00D61077">
      <w:pPr>
        <w:ind w:left="567"/>
        <w:rPr>
          <w:lang w:val="ro-RO"/>
        </w:rPr>
      </w:pPr>
      <w:r w:rsidRPr="003E790C">
        <w:rPr>
          <w:lang w:val="ro-RO"/>
        </w:rPr>
        <w:t xml:space="preserve">Pentru proiectele admise, punctajele pentru cele </w:t>
      </w:r>
      <w:r w:rsidR="003E790C" w:rsidRPr="003E790C">
        <w:rPr>
          <w:lang w:val="ro-RO"/>
        </w:rPr>
        <w:t>două</w:t>
      </w:r>
      <w:r w:rsidR="003E790C">
        <w:rPr>
          <w:lang w:val="ro-RO"/>
        </w:rPr>
        <w:t xml:space="preserve"> </w:t>
      </w:r>
      <w:r w:rsidRPr="003E790C">
        <w:rPr>
          <w:lang w:val="ro-RO"/>
        </w:rPr>
        <w:t xml:space="preserve">criterii se însumează pentru a stabili lista finală a punctajelor obținute. </w:t>
      </w:r>
      <w:r w:rsidRPr="00B44A9C">
        <w:rPr>
          <w:lang w:val="ro-RO"/>
        </w:rPr>
        <w:t>Ulterior, ofertele considerate conforme vor fi ordonate în funcție de punctajele obținute și vor fi înscrise pe lista pentru finanțare începând de la cele cu punctajul cel mai mare, până la acoperirea bugetului alocat pentru sesiune competitivă.</w:t>
      </w:r>
    </w:p>
    <w:p w14:paraId="440EC004" w14:textId="77777777" w:rsidR="00D61077" w:rsidRDefault="00D61077" w:rsidP="00D61077">
      <w:pPr>
        <w:ind w:left="567"/>
        <w:rPr>
          <w:lang w:val="ro-RO"/>
        </w:rPr>
      </w:pPr>
    </w:p>
    <w:p w14:paraId="1B812254" w14:textId="0B5AF3E1" w:rsidR="00D61077" w:rsidRPr="00D61077" w:rsidRDefault="00D61077" w:rsidP="00D61077">
      <w:pPr>
        <w:ind w:left="567"/>
        <w:rPr>
          <w:lang w:val="ro-RO"/>
        </w:rPr>
      </w:pPr>
      <w:r w:rsidRPr="00013CE8">
        <w:rPr>
          <w:i/>
          <w:iCs/>
          <w:u w:val="single"/>
          <w:lang w:val="ro-RO"/>
        </w:rPr>
        <w:t xml:space="preserve">Submăsura </w:t>
      </w:r>
      <w:r>
        <w:rPr>
          <w:i/>
          <w:iCs/>
          <w:u w:val="single"/>
          <w:lang w:val="ro-RO"/>
        </w:rPr>
        <w:t xml:space="preserve">2 </w:t>
      </w:r>
      <w:r>
        <w:rPr>
          <w:u w:val="single"/>
          <w:lang w:val="ro-RO"/>
        </w:rPr>
        <w:t>modernizarea</w:t>
      </w:r>
      <w:r w:rsidRPr="00013CE8">
        <w:rPr>
          <w:u w:val="single"/>
          <w:lang w:val="ro-RO"/>
        </w:rPr>
        <w:t xml:space="preserve"> vehicul</w:t>
      </w:r>
      <w:r>
        <w:rPr>
          <w:u w:val="single"/>
          <w:lang w:val="ro-RO"/>
        </w:rPr>
        <w:t xml:space="preserve">elor pentru transportul feroviar </w:t>
      </w:r>
      <w:r w:rsidRPr="00422620">
        <w:rPr>
          <w:u w:val="single"/>
          <w:lang w:val="ro-RO"/>
        </w:rPr>
        <w:t xml:space="preserve"> </w:t>
      </w:r>
      <w:r w:rsidRPr="00D61077">
        <w:rPr>
          <w:u w:val="single"/>
          <w:lang w:val="ro-RO"/>
        </w:rPr>
        <w:t>pentru a se califica drept vehicule cu emisii zero</w:t>
      </w:r>
    </w:p>
    <w:p w14:paraId="6C3BDAFE" w14:textId="2AFCF1C6" w:rsidR="0056434D" w:rsidRDefault="0056434D" w:rsidP="0056434D">
      <w:pPr>
        <w:ind w:left="567"/>
        <w:rPr>
          <w:i/>
          <w:iCs/>
          <w:u w:val="single"/>
          <w:lang w:val="ro-RO"/>
        </w:rPr>
      </w:pPr>
      <w:r>
        <w:rPr>
          <w:lang w:val="ro-RO"/>
        </w:rPr>
        <w:t xml:space="preserve">Se va folosi formula de calcul menționată la </w:t>
      </w:r>
      <w:r w:rsidRPr="00013CE8">
        <w:rPr>
          <w:i/>
          <w:iCs/>
          <w:u w:val="single"/>
          <w:lang w:val="ro-RO"/>
        </w:rPr>
        <w:t>Submăsura 1</w:t>
      </w:r>
      <w:r>
        <w:rPr>
          <w:i/>
          <w:iCs/>
          <w:u w:val="single"/>
          <w:lang w:val="ro-RO"/>
        </w:rPr>
        <w:t xml:space="preserve"> </w:t>
      </w:r>
      <w:r w:rsidRPr="00013CE8">
        <w:rPr>
          <w:u w:val="single"/>
          <w:lang w:val="ro-RO"/>
        </w:rPr>
        <w:t>achiziția de vehicule</w:t>
      </w:r>
      <w:r w:rsidRPr="00422620">
        <w:rPr>
          <w:u w:val="single"/>
          <w:lang w:val="ro-RO"/>
        </w:rPr>
        <w:t xml:space="preserve"> cu emisii zero</w:t>
      </w:r>
      <w:r>
        <w:rPr>
          <w:u w:val="single"/>
          <w:lang w:val="ro-RO"/>
        </w:rPr>
        <w:t xml:space="preserve"> pentru transportul rutier. </w:t>
      </w:r>
    </w:p>
    <w:p w14:paraId="1185BA1D" w14:textId="77777777" w:rsidR="0056434D" w:rsidRPr="003E790C" w:rsidRDefault="0056434D" w:rsidP="0056434D">
      <w:pPr>
        <w:ind w:left="567"/>
        <w:rPr>
          <w:lang w:val="ro-RO"/>
        </w:rPr>
      </w:pPr>
      <w:r w:rsidRPr="003E790C">
        <w:rPr>
          <w:lang w:val="ro-RO"/>
        </w:rPr>
        <w:t>În urma evaluării tuturor criteriilor de selecție, solicitarea de sprijin va primi un punctaj între 0 și maximum 100 de puncte.</w:t>
      </w:r>
    </w:p>
    <w:p w14:paraId="5241AEF2" w14:textId="5E37E255" w:rsidR="0056434D" w:rsidRPr="003E790C" w:rsidRDefault="0056434D" w:rsidP="0056434D">
      <w:pPr>
        <w:ind w:left="567"/>
        <w:rPr>
          <w:lang w:val="ro-RO"/>
        </w:rPr>
      </w:pPr>
      <w:r w:rsidRPr="003E790C">
        <w:rPr>
          <w:lang w:val="ro-RO"/>
        </w:rPr>
        <w:t>Conform criteriului 1 -  prețul cel mai mic solicitat p</w:t>
      </w:r>
      <w:r>
        <w:rPr>
          <w:lang w:val="ro-RO"/>
        </w:rPr>
        <w:t>e</w:t>
      </w:r>
      <w:r w:rsidR="00696AD9">
        <w:rPr>
          <w:lang w:val="ro-RO"/>
        </w:rPr>
        <w:t xml:space="preserve"> </w:t>
      </w:r>
      <w:r w:rsidRPr="00422620">
        <w:rPr>
          <w:lang w:val="ro-RO"/>
        </w:rPr>
        <w:t>gCO</w:t>
      </w:r>
      <w:r w:rsidRPr="00422620">
        <w:rPr>
          <w:vertAlign w:val="subscript"/>
          <w:lang w:val="ro-RO"/>
        </w:rPr>
        <w:t xml:space="preserve">2 </w:t>
      </w:r>
      <w:r w:rsidRPr="00422620">
        <w:rPr>
          <w:lang w:val="ro-RO"/>
        </w:rPr>
        <w:t xml:space="preserve">economisit </w:t>
      </w:r>
      <w:r w:rsidRPr="003E790C">
        <w:rPr>
          <w:lang w:val="ro-RO"/>
        </w:rPr>
        <w:t>(</w:t>
      </w:r>
      <w:r>
        <w:rPr>
          <w:lang w:val="ro-RO"/>
        </w:rPr>
        <w:t>9</w:t>
      </w:r>
      <w:r w:rsidRPr="003E790C">
        <w:rPr>
          <w:lang w:val="ro-RO"/>
        </w:rPr>
        <w:t xml:space="preserve">0 puncte) și criteriului 2 </w:t>
      </w:r>
      <w:r>
        <w:rPr>
          <w:lang w:val="ro-RO"/>
        </w:rPr>
        <w:t>–</w:t>
      </w:r>
      <w:r w:rsidRPr="003E790C">
        <w:rPr>
          <w:lang w:val="ro-RO"/>
        </w:rPr>
        <w:t xml:space="preserve"> </w:t>
      </w:r>
      <w:r>
        <w:rPr>
          <w:lang w:val="ro-RO"/>
        </w:rPr>
        <w:t xml:space="preserve">utilizarea energiei regenerabile pentru </w:t>
      </w:r>
      <w:r w:rsidRPr="0056434D">
        <w:rPr>
          <w:lang w:val="ro-RO"/>
        </w:rPr>
        <w:t>încărcarea vehiculelor modernizate (10 puncte), vor obține un punctaj maxim (100 puncte).</w:t>
      </w:r>
      <w:r w:rsidRPr="003E790C">
        <w:rPr>
          <w:lang w:val="ro-RO"/>
        </w:rPr>
        <w:t xml:space="preserve"> </w:t>
      </w:r>
    </w:p>
    <w:p w14:paraId="3CE14D89" w14:textId="6DBB6861" w:rsidR="0056434D" w:rsidRDefault="0056434D" w:rsidP="00207981">
      <w:pPr>
        <w:ind w:left="567"/>
        <w:rPr>
          <w:lang w:val="ro-RO"/>
        </w:rPr>
      </w:pPr>
      <w:r w:rsidRPr="003E790C">
        <w:rPr>
          <w:lang w:val="ro-RO"/>
        </w:rPr>
        <w:lastRenderedPageBreak/>
        <w:t>Pentru proiectele admise, punctajele pentru cele două</w:t>
      </w:r>
      <w:r>
        <w:rPr>
          <w:lang w:val="ro-RO"/>
        </w:rPr>
        <w:t xml:space="preserve"> </w:t>
      </w:r>
      <w:r w:rsidRPr="003E790C">
        <w:rPr>
          <w:lang w:val="ro-RO"/>
        </w:rPr>
        <w:t xml:space="preserve">criterii se însumează pentru a stabili lista finală a punctajelor obținute. </w:t>
      </w:r>
      <w:r w:rsidRPr="0056434D">
        <w:rPr>
          <w:lang w:val="ro-RO"/>
        </w:rPr>
        <w:t>Ulterior, ofertele considerate conforme vor fi ordonate în funcție de punctajele obținute și vor fi înscrise pe lista pentru finanțare începând de la cele cu punctajul cel mai mare, până la acoperirea bugetului alocat pentru sesiune competitivă.</w:t>
      </w:r>
    </w:p>
    <w:p w14:paraId="292945AE" w14:textId="49CBEC86" w:rsidR="0056434D" w:rsidRPr="00D61077" w:rsidRDefault="0056434D" w:rsidP="0056434D">
      <w:pPr>
        <w:ind w:left="567"/>
        <w:rPr>
          <w:lang w:val="ro-RO"/>
        </w:rPr>
      </w:pPr>
      <w:r w:rsidRPr="00013CE8">
        <w:rPr>
          <w:i/>
          <w:iCs/>
          <w:u w:val="single"/>
          <w:lang w:val="ro-RO"/>
        </w:rPr>
        <w:t xml:space="preserve">Submăsura </w:t>
      </w:r>
      <w:r>
        <w:rPr>
          <w:i/>
          <w:iCs/>
          <w:u w:val="single"/>
          <w:lang w:val="ro-RO"/>
        </w:rPr>
        <w:t xml:space="preserve">2 </w:t>
      </w:r>
      <w:r>
        <w:rPr>
          <w:u w:val="single"/>
          <w:lang w:val="ro-RO"/>
        </w:rPr>
        <w:t>modernizarea</w:t>
      </w:r>
      <w:r w:rsidRPr="00013CE8">
        <w:rPr>
          <w:u w:val="single"/>
          <w:lang w:val="ro-RO"/>
        </w:rPr>
        <w:t xml:space="preserve"> vehicul</w:t>
      </w:r>
      <w:r>
        <w:rPr>
          <w:u w:val="single"/>
          <w:lang w:val="ro-RO"/>
        </w:rPr>
        <w:t xml:space="preserve">elor pentru transportul maritim și pe căi navigabile interioare </w:t>
      </w:r>
      <w:r w:rsidRPr="00422620">
        <w:rPr>
          <w:u w:val="single"/>
          <w:lang w:val="ro-RO"/>
        </w:rPr>
        <w:t xml:space="preserve"> </w:t>
      </w:r>
      <w:r w:rsidRPr="00D61077">
        <w:rPr>
          <w:u w:val="single"/>
          <w:lang w:val="ro-RO"/>
        </w:rPr>
        <w:t xml:space="preserve">pentru a se califica drept vehicule </w:t>
      </w:r>
      <w:r>
        <w:rPr>
          <w:u w:val="single"/>
          <w:lang w:val="ro-RO"/>
        </w:rPr>
        <w:t>nepoluante (BAT)</w:t>
      </w:r>
    </w:p>
    <w:p w14:paraId="0EF532C7" w14:textId="77777777" w:rsidR="00207981" w:rsidRDefault="00207981" w:rsidP="009B6D44">
      <w:pPr>
        <w:ind w:left="0"/>
        <w:rPr>
          <w:lang w:val="ro-RO"/>
        </w:rPr>
      </w:pPr>
    </w:p>
    <w:p w14:paraId="48191673" w14:textId="1C5BF5E6" w:rsidR="00207981" w:rsidRPr="00013CE8" w:rsidRDefault="00207981" w:rsidP="00207981">
      <w:pPr>
        <w:ind w:left="567"/>
        <w:rPr>
          <w:lang w:val="ro-RO"/>
        </w:rPr>
      </w:pPr>
      <w:r w:rsidRPr="00422620">
        <w:rPr>
          <w:lang w:val="ro-RO"/>
        </w:rPr>
        <w:t>Criteriul 1</w:t>
      </w:r>
      <w:r>
        <w:rPr>
          <w:lang w:val="ro-RO"/>
        </w:rPr>
        <w:t xml:space="preserve">: </w:t>
      </w:r>
    </w:p>
    <w:p w14:paraId="057F059C" w14:textId="20F2D0CB" w:rsidR="00207981" w:rsidRPr="00422620" w:rsidRDefault="00207981" w:rsidP="00207981">
      <w:pPr>
        <w:ind w:left="567"/>
        <w:rPr>
          <w:lang w:val="ro-RO"/>
        </w:rPr>
      </w:pPr>
      <w:r w:rsidRPr="00422620">
        <w:rPr>
          <w:lang w:val="ro-RO"/>
        </w:rPr>
        <w:t>Prețul cel mai mic solicitat pe gCO2 economisit, calculat în funcție de performanța de transport (</w:t>
      </w:r>
      <w:proofErr w:type="spellStart"/>
      <w:r w:rsidRPr="00422620">
        <w:rPr>
          <w:lang w:val="ro-RO"/>
        </w:rPr>
        <w:t>tkm</w:t>
      </w:r>
      <w:proofErr w:type="spellEnd"/>
      <w:r w:rsidRPr="00422620">
        <w:rPr>
          <w:lang w:val="ro-RO"/>
        </w:rPr>
        <w:t xml:space="preserve"> sau </w:t>
      </w:r>
      <w:proofErr w:type="spellStart"/>
      <w:r w:rsidRPr="00422620">
        <w:rPr>
          <w:lang w:val="ro-RO"/>
        </w:rPr>
        <w:t>pkm</w:t>
      </w:r>
      <w:proofErr w:type="spellEnd"/>
      <w:r w:rsidRPr="00422620">
        <w:rPr>
          <w:lang w:val="ro-RO"/>
        </w:rPr>
        <w:t>).</w:t>
      </w:r>
    </w:p>
    <w:p w14:paraId="7506DE40" w14:textId="1E40B42B" w:rsidR="00207981" w:rsidRDefault="00207981" w:rsidP="00207981">
      <w:pPr>
        <w:ind w:left="567"/>
        <w:rPr>
          <w:lang w:val="ro-RO"/>
        </w:rPr>
      </w:pPr>
      <w:r w:rsidRPr="00422620">
        <w:rPr>
          <w:lang w:val="ro-RO"/>
        </w:rPr>
        <w:t>Se urmărește ca subvenția publică oferită per gC</w:t>
      </w:r>
      <w:r>
        <w:rPr>
          <w:lang w:val="ro-RO"/>
        </w:rPr>
        <w:t>O</w:t>
      </w:r>
      <w:r w:rsidRPr="00422620">
        <w:rPr>
          <w:vertAlign w:val="subscript"/>
          <w:lang w:val="ro-RO"/>
        </w:rPr>
        <w:t>2</w:t>
      </w:r>
      <w:r>
        <w:rPr>
          <w:lang w:val="ro-RO"/>
        </w:rPr>
        <w:t xml:space="preserve"> economisit</w:t>
      </w:r>
      <w:r w:rsidRPr="00422620">
        <w:rPr>
          <w:lang w:val="ro-RO"/>
        </w:rPr>
        <w:t xml:space="preserve"> să fie cea mai joasă și să se evite </w:t>
      </w:r>
      <w:proofErr w:type="spellStart"/>
      <w:r w:rsidRPr="00422620">
        <w:rPr>
          <w:lang w:val="ro-RO"/>
        </w:rPr>
        <w:t>supracompensarea</w:t>
      </w:r>
      <w:proofErr w:type="spellEnd"/>
      <w:r w:rsidRPr="00422620">
        <w:rPr>
          <w:lang w:val="ro-RO"/>
        </w:rPr>
        <w:t>.</w:t>
      </w:r>
      <w:r>
        <w:rPr>
          <w:lang w:val="ro-RO"/>
        </w:rPr>
        <w:t xml:space="preserve"> </w:t>
      </w:r>
    </w:p>
    <w:p w14:paraId="637777EB" w14:textId="20A39520" w:rsidR="00207981" w:rsidRPr="009B6D44" w:rsidRDefault="00207981" w:rsidP="009B6D44">
      <w:pPr>
        <w:ind w:left="567"/>
        <w:rPr>
          <w:lang w:val="ro-RO"/>
        </w:rPr>
      </w:pPr>
      <w:r w:rsidRPr="000B1866">
        <w:rPr>
          <w:lang w:val="it-IT"/>
        </w:rPr>
        <w:t>Se va verifica existenta a trei oferte conforme (conțin toate elementele pentru care s-a solicitat ofertare) cu respectarea confidențialității privind datele comerciale, precum și procesul verbal de adjudecare al ofertei câștigătoare.</w:t>
      </w:r>
    </w:p>
    <w:p w14:paraId="7940526D" w14:textId="334CA6D8" w:rsidR="00207981" w:rsidRPr="000B1866" w:rsidRDefault="00207981" w:rsidP="00207981">
      <w:pPr>
        <w:ind w:left="567"/>
        <w:rPr>
          <w:lang w:val="it-IT"/>
        </w:rPr>
      </w:pPr>
      <w:r w:rsidRPr="000B1866">
        <w:rPr>
          <w:lang w:val="it-IT"/>
        </w:rPr>
        <w:t xml:space="preserve"> Prețul cel mai  mic (Euro/</w:t>
      </w:r>
      <w:r>
        <w:rPr>
          <w:lang w:val="it-IT"/>
        </w:rPr>
        <w:t>gCO</w:t>
      </w:r>
      <w:r w:rsidRPr="00422620">
        <w:rPr>
          <w:vertAlign w:val="subscript"/>
          <w:lang w:val="it-IT"/>
        </w:rPr>
        <w:t>2</w:t>
      </w:r>
      <w:r w:rsidRPr="000B1866">
        <w:rPr>
          <w:lang w:val="it-IT"/>
        </w:rPr>
        <w:t xml:space="preserve">) - </w:t>
      </w:r>
      <w:r w:rsidR="00ED1025">
        <w:rPr>
          <w:lang w:val="it-IT"/>
        </w:rPr>
        <w:t>72</w:t>
      </w:r>
      <w:r w:rsidRPr="000B1866">
        <w:rPr>
          <w:lang w:val="it-IT"/>
        </w:rPr>
        <w:t xml:space="preserve"> pct </w:t>
      </w:r>
    </w:p>
    <w:p w14:paraId="33A71A8E" w14:textId="1EA9826A" w:rsidR="00207981" w:rsidRPr="000B1866" w:rsidRDefault="00207981" w:rsidP="00207981">
      <w:pPr>
        <w:ind w:left="567"/>
        <w:rPr>
          <w:lang w:val="it-IT"/>
        </w:rPr>
      </w:pPr>
      <w:r w:rsidRPr="000B1866">
        <w:rPr>
          <w:lang w:val="it-IT"/>
        </w:rPr>
        <w:t>Prețul cel mai mare  (Euro/</w:t>
      </w:r>
      <w:r w:rsidRPr="00422620">
        <w:rPr>
          <w:lang w:val="it-IT"/>
        </w:rPr>
        <w:t xml:space="preserve"> </w:t>
      </w:r>
      <w:r>
        <w:rPr>
          <w:lang w:val="it-IT"/>
        </w:rPr>
        <w:t>gCO</w:t>
      </w:r>
      <w:r w:rsidRPr="00422620">
        <w:rPr>
          <w:vertAlign w:val="subscript"/>
          <w:lang w:val="it-IT"/>
        </w:rPr>
        <w:t>2</w:t>
      </w:r>
      <w:r w:rsidRPr="000B1866">
        <w:rPr>
          <w:lang w:val="it-IT"/>
        </w:rPr>
        <w:t xml:space="preserve">) - 0 pct </w:t>
      </w:r>
    </w:p>
    <w:p w14:paraId="2CB29646" w14:textId="67FCDD18" w:rsidR="00207981" w:rsidRPr="000B1866" w:rsidRDefault="00207981" w:rsidP="00207981">
      <w:pPr>
        <w:ind w:left="567"/>
        <w:rPr>
          <w:lang w:val="it-IT"/>
        </w:rPr>
      </w:pPr>
      <w:r w:rsidRPr="000B1866">
        <w:rPr>
          <w:lang w:val="it-IT"/>
        </w:rPr>
        <w:t>Valorile intermediare ale ajutorului de stat solicitat (Euro/</w:t>
      </w:r>
      <w:r w:rsidRPr="00422620">
        <w:rPr>
          <w:lang w:val="it-IT"/>
        </w:rPr>
        <w:t xml:space="preserve"> </w:t>
      </w:r>
      <w:r>
        <w:rPr>
          <w:lang w:val="it-IT"/>
        </w:rPr>
        <w:t>gCO</w:t>
      </w:r>
      <w:r w:rsidRPr="00422620">
        <w:rPr>
          <w:vertAlign w:val="subscript"/>
          <w:lang w:val="it-IT"/>
        </w:rPr>
        <w:t>2</w:t>
      </w:r>
      <w:r w:rsidRPr="000B1866">
        <w:rPr>
          <w:lang w:val="it-IT"/>
        </w:rPr>
        <w:t xml:space="preserve">) se calculează conform ecuației dreptei: ax + b = y, </w:t>
      </w:r>
    </w:p>
    <w:p w14:paraId="5A3BC95B" w14:textId="77777777" w:rsidR="00207981" w:rsidRPr="000B1866" w:rsidRDefault="00207981" w:rsidP="00207981">
      <w:pPr>
        <w:ind w:left="567"/>
        <w:rPr>
          <w:lang w:val="it-IT"/>
        </w:rPr>
      </w:pPr>
      <w:r w:rsidRPr="000B1866">
        <w:rPr>
          <w:lang w:val="it-IT"/>
        </w:rPr>
        <w:t>Pentru a determina coeficienții a și b ai ecuației dreptei ax+b=y, putem folosi două punte cunoscute ale dreptei, astfel:</w:t>
      </w:r>
    </w:p>
    <w:p w14:paraId="42A87E4D" w14:textId="77777777" w:rsidR="00207981" w:rsidRPr="000B1866" w:rsidRDefault="00207981" w:rsidP="00207981">
      <w:pPr>
        <w:ind w:left="567"/>
        <w:rPr>
          <w:lang w:val="it-IT"/>
        </w:rPr>
      </w:pPr>
      <w:r w:rsidRPr="000B1866">
        <w:rPr>
          <w:lang w:val="it-IT"/>
        </w:rPr>
        <w:t>1. (xmax, 0)</w:t>
      </w:r>
    </w:p>
    <w:p w14:paraId="55022C6F" w14:textId="68F981C8" w:rsidR="00207981" w:rsidRPr="000B1866" w:rsidRDefault="00207981" w:rsidP="00207981">
      <w:pPr>
        <w:ind w:left="567"/>
        <w:rPr>
          <w:lang w:val="it-IT"/>
        </w:rPr>
      </w:pPr>
      <w:r w:rsidRPr="000B1866">
        <w:rPr>
          <w:lang w:val="it-IT"/>
        </w:rPr>
        <w:t xml:space="preserve">2. (xmin, </w:t>
      </w:r>
      <w:r w:rsidR="00ED1025">
        <w:rPr>
          <w:lang w:val="it-IT"/>
        </w:rPr>
        <w:t>72</w:t>
      </w:r>
      <w:r w:rsidRPr="000B1866">
        <w:rPr>
          <w:lang w:val="it-IT"/>
        </w:rPr>
        <w:t>)</w:t>
      </w:r>
    </w:p>
    <w:p w14:paraId="4F6F7DB5" w14:textId="6ABAD196" w:rsidR="00207981" w:rsidRPr="000B1866" w:rsidRDefault="00207981" w:rsidP="00207981">
      <w:pPr>
        <w:ind w:left="567"/>
        <w:rPr>
          <w:lang w:val="it-IT"/>
        </w:rPr>
      </w:pPr>
      <w:r w:rsidRPr="000B1866">
        <w:rPr>
          <w:lang w:val="it-IT"/>
        </w:rPr>
        <w:t xml:space="preserve">Unde: xmax este prețul cel mai mare solicitat pe </w:t>
      </w:r>
      <w:r>
        <w:rPr>
          <w:lang w:val="it-IT"/>
        </w:rPr>
        <w:t>gCO</w:t>
      </w:r>
      <w:r w:rsidRPr="00422620">
        <w:rPr>
          <w:vertAlign w:val="subscript"/>
          <w:lang w:val="it-IT"/>
        </w:rPr>
        <w:t>2</w:t>
      </w:r>
      <w:r>
        <w:rPr>
          <w:vertAlign w:val="subscript"/>
          <w:lang w:val="it-IT"/>
        </w:rPr>
        <w:t xml:space="preserve"> </w:t>
      </w:r>
      <w:r>
        <w:rPr>
          <w:lang w:val="it-IT"/>
        </w:rPr>
        <w:t>economisit</w:t>
      </w:r>
    </w:p>
    <w:p w14:paraId="03366B5D" w14:textId="1C07489A" w:rsidR="00207981" w:rsidRPr="000B1866" w:rsidRDefault="00207981" w:rsidP="00207981">
      <w:pPr>
        <w:ind w:left="567"/>
        <w:rPr>
          <w:lang w:val="it-IT"/>
        </w:rPr>
      </w:pPr>
      <w:r w:rsidRPr="000B1866">
        <w:rPr>
          <w:lang w:val="it-IT"/>
        </w:rPr>
        <w:tab/>
        <w:t>xmin este prețul cel mai mic solicitat pe</w:t>
      </w:r>
      <w:r w:rsidR="00696AD9">
        <w:rPr>
          <w:lang w:val="it-IT"/>
        </w:rPr>
        <w:t>k</w:t>
      </w:r>
      <w:r>
        <w:rPr>
          <w:lang w:val="it-IT"/>
        </w:rPr>
        <w:t xml:space="preserve"> gCO</w:t>
      </w:r>
      <w:r w:rsidRPr="00422620">
        <w:rPr>
          <w:vertAlign w:val="subscript"/>
          <w:lang w:val="it-IT"/>
        </w:rPr>
        <w:t>2</w:t>
      </w:r>
      <w:r>
        <w:rPr>
          <w:vertAlign w:val="subscript"/>
          <w:lang w:val="it-IT"/>
        </w:rPr>
        <w:t xml:space="preserve"> </w:t>
      </w:r>
      <w:r>
        <w:rPr>
          <w:lang w:val="it-IT"/>
        </w:rPr>
        <w:t>economisit</w:t>
      </w:r>
    </w:p>
    <w:p w14:paraId="59C183C2" w14:textId="3ADBD42E" w:rsidR="00207981" w:rsidRPr="000B1866" w:rsidRDefault="00207981" w:rsidP="00207981">
      <w:pPr>
        <w:ind w:left="567"/>
        <w:rPr>
          <w:lang w:val="it-IT"/>
        </w:rPr>
      </w:pPr>
      <w:r w:rsidRPr="000B1866">
        <w:rPr>
          <w:lang w:val="it-IT"/>
        </w:rPr>
        <w:t xml:space="preserve">Se consideră xmin = A, xmax = B, astfel punctele devin 1. (B, 0), 2. (A, </w:t>
      </w:r>
      <w:r w:rsidR="00ED1025">
        <w:rPr>
          <w:lang w:val="it-IT"/>
        </w:rPr>
        <w:t>72</w:t>
      </w:r>
      <w:r w:rsidRPr="000B1866">
        <w:rPr>
          <w:lang w:val="it-IT"/>
        </w:rPr>
        <w:t>), rezultând două ecuații:</w:t>
      </w:r>
    </w:p>
    <w:p w14:paraId="6FE8936D" w14:textId="77777777" w:rsidR="00207981" w:rsidRPr="000B1866" w:rsidRDefault="00207981" w:rsidP="00207981">
      <w:pPr>
        <w:ind w:left="567"/>
        <w:rPr>
          <w:lang w:val="it-IT"/>
        </w:rPr>
      </w:pPr>
      <w:r w:rsidRPr="000B1866">
        <w:rPr>
          <w:lang w:val="it-IT"/>
        </w:rPr>
        <w:t>1. aB + b= 0</w:t>
      </w:r>
    </w:p>
    <w:p w14:paraId="486CA74C" w14:textId="2818FC73" w:rsidR="00207981" w:rsidRPr="00B44A9C" w:rsidRDefault="00207981" w:rsidP="00207981">
      <w:pPr>
        <w:ind w:left="567"/>
        <w:rPr>
          <w:lang w:val="it-IT"/>
        </w:rPr>
      </w:pPr>
      <w:r w:rsidRPr="00B44A9C">
        <w:rPr>
          <w:lang w:val="it-IT"/>
        </w:rPr>
        <w:t xml:space="preserve">2. aA +b= </w:t>
      </w:r>
      <w:r w:rsidR="00ED1025" w:rsidRPr="00B44A9C">
        <w:rPr>
          <w:lang w:val="it-IT"/>
        </w:rPr>
        <w:t>72</w:t>
      </w:r>
    </w:p>
    <w:p w14:paraId="0B5ADB44" w14:textId="77777777" w:rsidR="00207981" w:rsidRPr="00B44A9C" w:rsidRDefault="00207981" w:rsidP="00207981">
      <w:pPr>
        <w:ind w:left="567"/>
        <w:rPr>
          <w:lang w:val="it-IT"/>
        </w:rPr>
      </w:pPr>
      <w:r w:rsidRPr="00B44A9C">
        <w:rPr>
          <w:lang w:val="it-IT"/>
        </w:rPr>
        <w:t>Pasul 1: b= -aB</w:t>
      </w:r>
    </w:p>
    <w:p w14:paraId="379A6C36" w14:textId="77777777" w:rsidR="00207981" w:rsidRPr="000B1866" w:rsidRDefault="00207981" w:rsidP="00207981">
      <w:pPr>
        <w:ind w:left="567"/>
        <w:rPr>
          <w:lang w:val="it-IT"/>
        </w:rPr>
      </w:pPr>
      <w:r w:rsidRPr="000B1866">
        <w:rPr>
          <w:lang w:val="it-IT"/>
        </w:rPr>
        <w:t>Pasul 2: înlocuirea lui b în a doua ecuație</w:t>
      </w:r>
    </w:p>
    <w:p w14:paraId="3A362969" w14:textId="294FB9A9" w:rsidR="00207981" w:rsidRPr="000B1866" w:rsidRDefault="00207981" w:rsidP="00207981">
      <w:pPr>
        <w:ind w:left="567"/>
        <w:rPr>
          <w:lang w:val="it-IT"/>
        </w:rPr>
      </w:pPr>
      <w:r w:rsidRPr="000B1866">
        <w:rPr>
          <w:lang w:val="it-IT"/>
        </w:rPr>
        <w:t xml:space="preserve">aA – aB = </w:t>
      </w:r>
      <w:r w:rsidR="00ED1025">
        <w:rPr>
          <w:lang w:val="it-IT"/>
        </w:rPr>
        <w:t>72</w:t>
      </w:r>
    </w:p>
    <w:p w14:paraId="4ADF7A29" w14:textId="45E1ADB4" w:rsidR="00207981" w:rsidRPr="000B1866" w:rsidRDefault="00207981" w:rsidP="00207981">
      <w:pPr>
        <w:ind w:left="567"/>
        <w:rPr>
          <w:lang w:val="it-IT"/>
        </w:rPr>
      </w:pPr>
      <w:r w:rsidRPr="000B1866">
        <w:rPr>
          <w:lang w:val="it-IT"/>
        </w:rPr>
        <w:t>a(A-B)=</w:t>
      </w:r>
      <w:r w:rsidR="00ED1025">
        <w:rPr>
          <w:lang w:val="it-IT"/>
        </w:rPr>
        <w:t>72</w:t>
      </w:r>
      <w:r w:rsidRPr="000B1866">
        <w:rPr>
          <w:lang w:val="it-IT"/>
        </w:rPr>
        <w:t>, a=</w:t>
      </w:r>
      <w:r w:rsidR="00ED1025">
        <w:rPr>
          <w:lang w:val="it-IT"/>
        </w:rPr>
        <w:t>72</w:t>
      </w:r>
      <w:r w:rsidRPr="000B1866">
        <w:rPr>
          <w:lang w:val="it-IT"/>
        </w:rPr>
        <w:t>/A-B</w:t>
      </w:r>
    </w:p>
    <w:p w14:paraId="7A5E48A3" w14:textId="77777777" w:rsidR="00207981" w:rsidRPr="000B1866" w:rsidRDefault="00207981" w:rsidP="00207981">
      <w:pPr>
        <w:ind w:left="567"/>
        <w:rPr>
          <w:lang w:val="it-IT"/>
        </w:rPr>
      </w:pPr>
      <w:r w:rsidRPr="000B1866">
        <w:rPr>
          <w:lang w:val="it-IT"/>
        </w:rPr>
        <w:t>Pasul 3: determinarea lui b</w:t>
      </w:r>
    </w:p>
    <w:p w14:paraId="0E159BF0" w14:textId="77777777" w:rsidR="00207981" w:rsidRPr="000B1866" w:rsidRDefault="00207981" w:rsidP="00207981">
      <w:pPr>
        <w:ind w:left="567"/>
        <w:rPr>
          <w:lang w:val="en-GB"/>
        </w:rPr>
      </w:pPr>
      <w:r w:rsidRPr="000B1866">
        <w:rPr>
          <w:lang w:val="en-GB"/>
        </w:rPr>
        <w:t>b= -</w:t>
      </w:r>
      <w:proofErr w:type="spellStart"/>
      <w:r w:rsidRPr="000B1866">
        <w:rPr>
          <w:lang w:val="en-GB"/>
        </w:rPr>
        <w:t>aB</w:t>
      </w:r>
      <w:proofErr w:type="spellEnd"/>
    </w:p>
    <w:p w14:paraId="6E0C1070" w14:textId="78A28A85" w:rsidR="00207981" w:rsidRPr="000B1866" w:rsidRDefault="00207981" w:rsidP="00207981">
      <w:pPr>
        <w:ind w:left="567"/>
        <w:rPr>
          <w:lang w:val="en-GB"/>
        </w:rPr>
      </w:pPr>
      <w:r w:rsidRPr="000B1866">
        <w:rPr>
          <w:lang w:val="en-GB"/>
        </w:rPr>
        <w:t>b= -</w:t>
      </w:r>
      <w:r w:rsidR="00ED1025">
        <w:rPr>
          <w:lang w:val="en-GB"/>
        </w:rPr>
        <w:t>72</w:t>
      </w:r>
      <w:r w:rsidRPr="000B1866">
        <w:rPr>
          <w:lang w:val="en-GB"/>
        </w:rPr>
        <w:t>/(A-B) *B</w:t>
      </w:r>
    </w:p>
    <w:p w14:paraId="5FDF991D" w14:textId="6C9A2A5D" w:rsidR="00207981" w:rsidRPr="000B1866" w:rsidRDefault="00207981" w:rsidP="00207981">
      <w:pPr>
        <w:ind w:left="567"/>
        <w:rPr>
          <w:lang w:val="en-GB"/>
        </w:rPr>
      </w:pPr>
      <w:r w:rsidRPr="000B1866">
        <w:rPr>
          <w:lang w:val="en-GB"/>
        </w:rPr>
        <w:t xml:space="preserve">b= </w:t>
      </w:r>
      <w:r w:rsidR="00ED1025">
        <w:rPr>
          <w:lang w:val="en-GB"/>
        </w:rPr>
        <w:t>72</w:t>
      </w:r>
      <w:r w:rsidRPr="000B1866">
        <w:rPr>
          <w:lang w:val="en-GB"/>
        </w:rPr>
        <w:t>B/A-B</w:t>
      </w:r>
    </w:p>
    <w:p w14:paraId="2001D444" w14:textId="1359EE47" w:rsidR="00207981" w:rsidRPr="005606E6" w:rsidRDefault="00207981" w:rsidP="00207981">
      <w:pPr>
        <w:ind w:left="567"/>
        <w:rPr>
          <w:lang w:val="fr-FR"/>
        </w:rPr>
      </w:pPr>
      <w:proofErr w:type="spellStart"/>
      <w:r w:rsidRPr="005606E6">
        <w:rPr>
          <w:lang w:val="fr-FR"/>
        </w:rPr>
        <w:lastRenderedPageBreak/>
        <w:t>Astfel</w:t>
      </w:r>
      <w:proofErr w:type="spellEnd"/>
      <w:r w:rsidRPr="005606E6">
        <w:rPr>
          <w:lang w:val="fr-FR"/>
        </w:rPr>
        <w:t xml:space="preserve"> </w:t>
      </w:r>
      <w:proofErr w:type="spellStart"/>
      <w:r w:rsidRPr="005606E6">
        <w:rPr>
          <w:lang w:val="fr-FR"/>
        </w:rPr>
        <w:t>ecuația</w:t>
      </w:r>
      <w:proofErr w:type="spellEnd"/>
      <w:r w:rsidRPr="005606E6">
        <w:rPr>
          <w:lang w:val="fr-FR"/>
        </w:rPr>
        <w:t xml:space="preserve"> devine </w:t>
      </w:r>
      <w:r w:rsidRPr="005606E6">
        <w:rPr>
          <w:color w:val="FF0000"/>
          <w:lang w:val="fr-FR"/>
        </w:rPr>
        <w:t xml:space="preserve">y= </w:t>
      </w:r>
      <w:r w:rsidR="00ED1025">
        <w:rPr>
          <w:color w:val="FF0000"/>
          <w:lang w:val="fr-FR"/>
        </w:rPr>
        <w:t>72</w:t>
      </w:r>
      <w:r w:rsidRPr="005606E6">
        <w:rPr>
          <w:color w:val="FF0000"/>
          <w:lang w:val="fr-FR"/>
        </w:rPr>
        <w:t>/ (</w:t>
      </w:r>
      <w:r w:rsidR="00F36AB5">
        <w:rPr>
          <w:color w:val="FF0000"/>
          <w:lang w:val="fr-FR"/>
        </w:rPr>
        <w:t>A</w:t>
      </w:r>
      <w:r w:rsidRPr="005606E6">
        <w:rPr>
          <w:color w:val="FF0000"/>
          <w:lang w:val="fr-FR"/>
        </w:rPr>
        <w:t>-</w:t>
      </w:r>
      <w:proofErr w:type="gramStart"/>
      <w:r w:rsidRPr="005606E6">
        <w:rPr>
          <w:color w:val="FF0000"/>
          <w:lang w:val="fr-FR"/>
        </w:rPr>
        <w:t>B)*</w:t>
      </w:r>
      <w:proofErr w:type="gramEnd"/>
      <w:r w:rsidRPr="005606E6">
        <w:rPr>
          <w:color w:val="FF0000"/>
          <w:lang w:val="fr-FR"/>
        </w:rPr>
        <w:t xml:space="preserve">x – </w:t>
      </w:r>
      <w:r w:rsidR="00ED1025">
        <w:rPr>
          <w:color w:val="FF0000"/>
          <w:lang w:val="fr-FR"/>
        </w:rPr>
        <w:t>72</w:t>
      </w:r>
      <w:r w:rsidRPr="005606E6">
        <w:rPr>
          <w:color w:val="FF0000"/>
          <w:lang w:val="fr-FR"/>
        </w:rPr>
        <w:t>B/A-B</w:t>
      </w:r>
    </w:p>
    <w:p w14:paraId="0138E94F" w14:textId="5E78FF01" w:rsidR="00207981" w:rsidRPr="00422620" w:rsidRDefault="00207981" w:rsidP="00207981">
      <w:pPr>
        <w:ind w:left="567"/>
        <w:rPr>
          <w:lang w:val="ro-RO"/>
        </w:rPr>
      </w:pPr>
      <w:r w:rsidRPr="00422620">
        <w:rPr>
          <w:lang w:val="ro-RO"/>
        </w:rPr>
        <w:t>Pentru a calcula y în funcție de prețul per gCO2 economisit solicitat x, utilizăm ecuația marcată cu roșu.</w:t>
      </w:r>
    </w:p>
    <w:p w14:paraId="7F5B1C70" w14:textId="62DBB901" w:rsidR="00207981" w:rsidRPr="00422620" w:rsidRDefault="00207981" w:rsidP="00207981">
      <w:pPr>
        <w:ind w:left="567"/>
        <w:rPr>
          <w:lang w:val="ro-RO"/>
        </w:rPr>
      </w:pPr>
      <w:r w:rsidRPr="00422620">
        <w:rPr>
          <w:lang w:val="ro-RO"/>
        </w:rPr>
        <w:t>Astfel dacă avem prețul per gCO</w:t>
      </w:r>
      <w:r w:rsidRPr="00422620">
        <w:rPr>
          <w:vertAlign w:val="subscript"/>
          <w:lang w:val="ro-RO"/>
        </w:rPr>
        <w:t xml:space="preserve">2 </w:t>
      </w:r>
      <w:r w:rsidRPr="00422620">
        <w:rPr>
          <w:lang w:val="ro-RO"/>
        </w:rPr>
        <w:t xml:space="preserve">economisit min și maxim (A și B) putem calcula punctajul obținut pentru orice valoare x. </w:t>
      </w:r>
    </w:p>
    <w:p w14:paraId="655F035A" w14:textId="77777777" w:rsidR="00207981" w:rsidRPr="00422620" w:rsidRDefault="00207981" w:rsidP="00207981">
      <w:pPr>
        <w:ind w:left="567"/>
        <w:rPr>
          <w:u w:val="single"/>
          <w:lang w:val="ro-RO"/>
        </w:rPr>
      </w:pPr>
      <w:r w:rsidRPr="00422620">
        <w:rPr>
          <w:u w:val="single"/>
          <w:lang w:val="ro-RO"/>
        </w:rPr>
        <w:t xml:space="preserve">Criteriul </w:t>
      </w:r>
      <w:r>
        <w:rPr>
          <w:u w:val="single"/>
          <w:lang w:val="ro-RO"/>
        </w:rPr>
        <w:t>2</w:t>
      </w:r>
      <w:r w:rsidRPr="00422620">
        <w:rPr>
          <w:u w:val="single"/>
          <w:lang w:val="ro-RO"/>
        </w:rPr>
        <w:t xml:space="preserve">: </w:t>
      </w:r>
    </w:p>
    <w:p w14:paraId="09107315" w14:textId="77777777" w:rsidR="00207981" w:rsidRPr="00422620" w:rsidRDefault="00207981" w:rsidP="00207981">
      <w:pPr>
        <w:ind w:left="567"/>
        <w:rPr>
          <w:lang w:val="ro-RO"/>
        </w:rPr>
      </w:pPr>
      <w:r w:rsidRPr="00422620">
        <w:rPr>
          <w:lang w:val="ro-RO"/>
        </w:rPr>
        <w:t xml:space="preserve">10% din totalul criteriilor de selecție utilizate pentru clasificarea solicitărilor și, în cele din urmă, pentru alocarea ajutorului în cadrul sesiunii concurențiale aferente ambelor submăsuri se definesc </w:t>
      </w:r>
      <w:r w:rsidRPr="00D16DFB">
        <w:rPr>
          <w:lang w:val="ro-RO"/>
        </w:rPr>
        <w:t>pentru utilizarea energiei regenerabile pentru încărcarea vehiculelor.</w:t>
      </w:r>
    </w:p>
    <w:p w14:paraId="571BA8DF" w14:textId="6ADA8248" w:rsidR="00207981" w:rsidRPr="005606E6" w:rsidRDefault="00207981" w:rsidP="00207981">
      <w:pPr>
        <w:ind w:left="567"/>
        <w:rPr>
          <w:lang w:val="ro-RO"/>
        </w:rPr>
      </w:pPr>
      <w:r w:rsidRPr="005606E6">
        <w:rPr>
          <w:lang w:val="ro-RO"/>
        </w:rPr>
        <w:t xml:space="preserve">În cazul în care nu </w:t>
      </w:r>
      <w:r>
        <w:rPr>
          <w:lang w:val="ro-RO"/>
        </w:rPr>
        <w:t>se va utiliza energie regenerabilă pentru încărcarea vehiculelor</w:t>
      </w:r>
      <w:r w:rsidRPr="005606E6">
        <w:rPr>
          <w:lang w:val="ro-RO"/>
        </w:rPr>
        <w:t xml:space="preserve">, </w:t>
      </w:r>
      <w:r>
        <w:rPr>
          <w:lang w:val="ro-RO"/>
        </w:rPr>
        <w:t xml:space="preserve">nu se va acorda punctajul de </w:t>
      </w:r>
      <w:r w:rsidR="00ED1025">
        <w:rPr>
          <w:lang w:val="ro-RO"/>
        </w:rPr>
        <w:t>8</w:t>
      </w:r>
      <w:r w:rsidRPr="005606E6">
        <w:rPr>
          <w:lang w:val="ro-RO"/>
        </w:rPr>
        <w:t xml:space="preserve"> puncte</w:t>
      </w:r>
      <w:r>
        <w:rPr>
          <w:lang w:val="ro-RO"/>
        </w:rPr>
        <w:t>.</w:t>
      </w:r>
    </w:p>
    <w:p w14:paraId="5B2A4E59" w14:textId="77777777" w:rsidR="00207981" w:rsidRDefault="00207981" w:rsidP="00207981">
      <w:pPr>
        <w:ind w:left="567"/>
        <w:rPr>
          <w:lang w:val="ro-RO"/>
        </w:rPr>
      </w:pPr>
      <w:r w:rsidRPr="003E790C">
        <w:rPr>
          <w:lang w:val="ro-RO"/>
        </w:rPr>
        <w:t>Pentru criteriul 2 nu se acordă punctaj intermediar.</w:t>
      </w:r>
    </w:p>
    <w:p w14:paraId="010C9649" w14:textId="77777777" w:rsidR="00207981" w:rsidRPr="003E790C" w:rsidRDefault="00207981" w:rsidP="00207981">
      <w:pPr>
        <w:ind w:left="567"/>
        <w:rPr>
          <w:lang w:val="ro-RO"/>
        </w:rPr>
      </w:pPr>
      <w:r w:rsidRPr="003E790C">
        <w:rPr>
          <w:lang w:val="ro-RO"/>
        </w:rPr>
        <w:t>Notă: acordarea punctajului final va fi posibilă numai după închiderea sesiunii de depunere a cererilor de finanțare.</w:t>
      </w:r>
    </w:p>
    <w:p w14:paraId="5AEE1BDA" w14:textId="6670299C" w:rsidR="00207981" w:rsidRPr="003E790C" w:rsidRDefault="00207981" w:rsidP="00207981">
      <w:pPr>
        <w:ind w:left="567"/>
        <w:rPr>
          <w:lang w:val="ro-RO"/>
        </w:rPr>
      </w:pPr>
      <w:r w:rsidRPr="003E790C">
        <w:rPr>
          <w:lang w:val="ro-RO"/>
        </w:rPr>
        <w:t xml:space="preserve">În urma evaluării tuturor criteriilor de selecție, solicitarea de sprijin va primi un punctaj între 0 și maximum </w:t>
      </w:r>
      <w:r w:rsidR="00ED1025">
        <w:rPr>
          <w:lang w:val="ro-RO"/>
        </w:rPr>
        <w:t>80</w:t>
      </w:r>
      <w:r w:rsidRPr="003E790C">
        <w:rPr>
          <w:lang w:val="ro-RO"/>
        </w:rPr>
        <w:t xml:space="preserve"> de puncte.</w:t>
      </w:r>
    </w:p>
    <w:p w14:paraId="7BAF4FE9" w14:textId="22554DEE" w:rsidR="00207981" w:rsidRPr="003E790C" w:rsidRDefault="00207981" w:rsidP="00207981">
      <w:pPr>
        <w:ind w:left="567"/>
        <w:rPr>
          <w:lang w:val="ro-RO"/>
        </w:rPr>
      </w:pPr>
      <w:r w:rsidRPr="003E790C">
        <w:rPr>
          <w:lang w:val="ro-RO"/>
        </w:rPr>
        <w:t>Conform criteriului 1 -  prețul cel mai mic solicitat p</w:t>
      </w:r>
      <w:r>
        <w:rPr>
          <w:lang w:val="ro-RO"/>
        </w:rPr>
        <w:t xml:space="preserve">e </w:t>
      </w:r>
      <w:r w:rsidRPr="00422620">
        <w:rPr>
          <w:lang w:val="ro-RO"/>
        </w:rPr>
        <w:t>gCO</w:t>
      </w:r>
      <w:r w:rsidRPr="00422620">
        <w:rPr>
          <w:vertAlign w:val="subscript"/>
          <w:lang w:val="ro-RO"/>
        </w:rPr>
        <w:t xml:space="preserve">2 </w:t>
      </w:r>
      <w:r w:rsidRPr="00422620">
        <w:rPr>
          <w:lang w:val="ro-RO"/>
        </w:rPr>
        <w:t xml:space="preserve">economisit </w:t>
      </w:r>
      <w:r w:rsidRPr="003E790C">
        <w:rPr>
          <w:lang w:val="ro-RO"/>
        </w:rPr>
        <w:t>(</w:t>
      </w:r>
      <w:r w:rsidR="00ED1025">
        <w:rPr>
          <w:lang w:val="ro-RO"/>
        </w:rPr>
        <w:t>72</w:t>
      </w:r>
      <w:r w:rsidRPr="003E790C">
        <w:rPr>
          <w:lang w:val="ro-RO"/>
        </w:rPr>
        <w:t xml:space="preserve"> puncte) și criteriului 2 </w:t>
      </w:r>
      <w:r>
        <w:rPr>
          <w:lang w:val="ro-RO"/>
        </w:rPr>
        <w:t>–</w:t>
      </w:r>
      <w:r w:rsidRPr="003E790C">
        <w:rPr>
          <w:lang w:val="ro-RO"/>
        </w:rPr>
        <w:t xml:space="preserve"> </w:t>
      </w:r>
      <w:r>
        <w:rPr>
          <w:lang w:val="ro-RO"/>
        </w:rPr>
        <w:t>utilizarea energiei regenerabile pentru încărcarea vehiculelor achiziționate</w:t>
      </w:r>
      <w:r w:rsidRPr="003E790C">
        <w:rPr>
          <w:lang w:val="ro-RO"/>
        </w:rPr>
        <w:t xml:space="preserve"> (</w:t>
      </w:r>
      <w:r w:rsidR="00ED1025">
        <w:rPr>
          <w:lang w:val="ro-RO"/>
        </w:rPr>
        <w:t>8</w:t>
      </w:r>
      <w:r>
        <w:rPr>
          <w:lang w:val="ro-RO"/>
        </w:rPr>
        <w:t xml:space="preserve"> </w:t>
      </w:r>
      <w:r w:rsidRPr="003E790C">
        <w:rPr>
          <w:lang w:val="ro-RO"/>
        </w:rPr>
        <w:t>puncte), vor obține un punctaj maxim (</w:t>
      </w:r>
      <w:r w:rsidR="00ED1025">
        <w:rPr>
          <w:lang w:val="ro-RO"/>
        </w:rPr>
        <w:t xml:space="preserve">80 </w:t>
      </w:r>
      <w:r w:rsidRPr="003E790C">
        <w:rPr>
          <w:lang w:val="ro-RO"/>
        </w:rPr>
        <w:t xml:space="preserve">puncte). </w:t>
      </w:r>
    </w:p>
    <w:p w14:paraId="0F99A186" w14:textId="77777777" w:rsidR="00207981" w:rsidRPr="00207981" w:rsidRDefault="00207981" w:rsidP="00207981">
      <w:pPr>
        <w:ind w:left="567"/>
        <w:rPr>
          <w:lang w:val="ro-RO"/>
        </w:rPr>
      </w:pPr>
      <w:r w:rsidRPr="003E790C">
        <w:rPr>
          <w:lang w:val="ro-RO"/>
        </w:rPr>
        <w:t>Pentru proiectele admise, punctajele pentru cele două</w:t>
      </w:r>
      <w:r>
        <w:rPr>
          <w:lang w:val="ro-RO"/>
        </w:rPr>
        <w:t xml:space="preserve"> </w:t>
      </w:r>
      <w:r w:rsidRPr="003E790C">
        <w:rPr>
          <w:lang w:val="ro-RO"/>
        </w:rPr>
        <w:t xml:space="preserve">criterii se însumează pentru a stabili lista finală a punctajelor obținute. </w:t>
      </w:r>
      <w:r w:rsidRPr="00207981">
        <w:rPr>
          <w:lang w:val="ro-RO"/>
        </w:rPr>
        <w:t>Ulterior, ofertele considerate conforme vor fi ordonate în funcție de punctajele obținute și vor fi înscrise pe lista pentru finanțare începând de la cele cu punctajul cel mai mare, până la acoperirea bugetului alocat pentru sesiune competitivă.</w:t>
      </w:r>
    </w:p>
    <w:p w14:paraId="13D6392C" w14:textId="77777777" w:rsidR="00207981" w:rsidRDefault="00207981" w:rsidP="00207981">
      <w:pPr>
        <w:ind w:left="567"/>
        <w:rPr>
          <w:lang w:val="ro-RO"/>
        </w:rPr>
      </w:pPr>
    </w:p>
    <w:p w14:paraId="13D33873" w14:textId="77777777" w:rsidR="0056434D" w:rsidRPr="0056434D" w:rsidRDefault="0056434D" w:rsidP="0056434D">
      <w:pPr>
        <w:ind w:left="567"/>
        <w:rPr>
          <w:lang w:val="ro-RO"/>
        </w:rPr>
      </w:pPr>
    </w:p>
    <w:p w14:paraId="3D2DC416" w14:textId="4F4D2BB2" w:rsidR="00013CE8" w:rsidRPr="00D61077" w:rsidRDefault="00013CE8" w:rsidP="00013CE8">
      <w:pPr>
        <w:ind w:left="567"/>
        <w:rPr>
          <w:lang w:val="ro-RO"/>
        </w:rPr>
      </w:pPr>
    </w:p>
    <w:p w14:paraId="52C182C6" w14:textId="77777777" w:rsidR="00013CE8" w:rsidRDefault="00013CE8" w:rsidP="002356E9">
      <w:pPr>
        <w:ind w:left="0"/>
        <w:rPr>
          <w:lang w:val="ro-RO"/>
        </w:rPr>
      </w:pPr>
    </w:p>
    <w:p w14:paraId="5EF7D019" w14:textId="77777777" w:rsidR="00207981" w:rsidRDefault="00207981" w:rsidP="002356E9">
      <w:pPr>
        <w:ind w:left="0"/>
        <w:rPr>
          <w:lang w:val="ro-RO"/>
        </w:rPr>
      </w:pPr>
    </w:p>
    <w:p w14:paraId="1B937B4A" w14:textId="77777777" w:rsidR="00207981" w:rsidRDefault="00207981" w:rsidP="002356E9">
      <w:pPr>
        <w:ind w:left="0"/>
        <w:rPr>
          <w:lang w:val="ro-RO"/>
        </w:rPr>
      </w:pPr>
    </w:p>
    <w:p w14:paraId="498C0220" w14:textId="77777777" w:rsidR="00207981" w:rsidRDefault="00207981" w:rsidP="002356E9">
      <w:pPr>
        <w:ind w:left="0"/>
        <w:rPr>
          <w:lang w:val="ro-RO"/>
        </w:rPr>
      </w:pPr>
    </w:p>
    <w:p w14:paraId="2BA6504C" w14:textId="77777777" w:rsidR="00207981" w:rsidRDefault="00207981" w:rsidP="002356E9">
      <w:pPr>
        <w:ind w:left="0"/>
        <w:rPr>
          <w:lang w:val="ro-RO"/>
        </w:rPr>
      </w:pPr>
    </w:p>
    <w:p w14:paraId="49011912" w14:textId="77777777" w:rsidR="00207981" w:rsidRDefault="00207981" w:rsidP="002356E9">
      <w:pPr>
        <w:ind w:left="0"/>
        <w:rPr>
          <w:lang w:val="ro-RO"/>
        </w:rPr>
      </w:pPr>
    </w:p>
    <w:p w14:paraId="097B79A7" w14:textId="77777777" w:rsidR="00207981" w:rsidRDefault="00207981" w:rsidP="002356E9">
      <w:pPr>
        <w:ind w:left="0"/>
        <w:rPr>
          <w:lang w:val="ro-RO"/>
        </w:rPr>
      </w:pPr>
    </w:p>
    <w:p w14:paraId="2A6BD343" w14:textId="77777777" w:rsidR="00207981" w:rsidRDefault="00207981" w:rsidP="002356E9">
      <w:pPr>
        <w:ind w:left="0"/>
        <w:rPr>
          <w:lang w:val="ro-RO"/>
        </w:rPr>
      </w:pPr>
    </w:p>
    <w:p w14:paraId="2BB28328" w14:textId="77777777" w:rsidR="00207981" w:rsidRDefault="00207981" w:rsidP="002356E9">
      <w:pPr>
        <w:ind w:left="0"/>
        <w:rPr>
          <w:lang w:val="ro-RO"/>
        </w:rPr>
      </w:pPr>
    </w:p>
    <w:p w14:paraId="12F35BFC" w14:textId="77777777" w:rsidR="00207981" w:rsidRDefault="00207981" w:rsidP="002356E9">
      <w:pPr>
        <w:ind w:left="0"/>
        <w:rPr>
          <w:lang w:val="ro-RO"/>
        </w:rPr>
      </w:pPr>
    </w:p>
    <w:p w14:paraId="6CF4C754" w14:textId="77777777" w:rsidR="00207981" w:rsidRDefault="00207981" w:rsidP="002356E9">
      <w:pPr>
        <w:ind w:left="0"/>
        <w:rPr>
          <w:lang w:val="ro-RO"/>
        </w:rPr>
      </w:pPr>
    </w:p>
    <w:p w14:paraId="16F7F755" w14:textId="77777777" w:rsidR="00F36AB5" w:rsidRDefault="00F36AB5" w:rsidP="00F36AB5">
      <w:pPr>
        <w:ind w:left="0"/>
        <w:jc w:val="center"/>
        <w:rPr>
          <w:lang w:val="ro-RO"/>
        </w:rPr>
      </w:pPr>
      <w:r>
        <w:rPr>
          <w:lang w:val="ro-RO"/>
        </w:rPr>
        <w:lastRenderedPageBreak/>
        <w:t>ANEXA II</w:t>
      </w:r>
    </w:p>
    <w:p w14:paraId="41D82E21" w14:textId="77777777" w:rsidR="00F36AB5" w:rsidRDefault="00F36AB5" w:rsidP="00F36AB5">
      <w:pPr>
        <w:ind w:left="0"/>
        <w:jc w:val="center"/>
        <w:rPr>
          <w:lang w:val="ro-RO"/>
        </w:rPr>
      </w:pPr>
      <w:r>
        <w:rPr>
          <w:lang w:val="ro-RO"/>
        </w:rPr>
        <w:t>Metoda de calcul a</w:t>
      </w:r>
      <w:r w:rsidRPr="005571AE">
        <w:rPr>
          <w:lang w:val="ro-RO"/>
        </w:rPr>
        <w:t xml:space="preserve"> diferențelor de preț </w:t>
      </w:r>
      <w:r>
        <w:rPr>
          <w:lang w:val="ro-RO"/>
        </w:rPr>
        <w:t xml:space="preserve">pentru achiziția de vehicule pentru transportul rutier pentru a se încadra în categoria vehiculelor cu zero emisii </w:t>
      </w:r>
    </w:p>
    <w:p w14:paraId="79BC79A4" w14:textId="77777777" w:rsidR="00207981" w:rsidRDefault="00207981" w:rsidP="002356E9">
      <w:pPr>
        <w:ind w:left="0"/>
        <w:rPr>
          <w:lang w:val="ro-RO"/>
        </w:rPr>
      </w:pPr>
    </w:p>
    <w:p w14:paraId="30A31447" w14:textId="77777777" w:rsidR="00F36AB5" w:rsidRPr="00E556A5" w:rsidRDefault="00F36AB5" w:rsidP="00F36AB5">
      <w:pPr>
        <w:ind w:left="0"/>
        <w:rPr>
          <w:i/>
          <w:iCs/>
          <w:sz w:val="20"/>
          <w:szCs w:val="20"/>
          <w:lang w:val="ro-RO"/>
        </w:rPr>
      </w:pPr>
      <w:r w:rsidRPr="00E556A5">
        <w:rPr>
          <w:i/>
          <w:iCs/>
          <w:sz w:val="20"/>
          <w:szCs w:val="20"/>
          <w:lang w:val="ro-RO"/>
        </w:rPr>
        <w:t>Tabel 1. Prețurile de achiziție de referință ale vehiculelor pe motorinei (fără TVA) și categoriile de vehicule pentru calcularea subvențiilor</w:t>
      </w:r>
    </w:p>
    <w:p w14:paraId="3CB7471F" w14:textId="69EFA2B7" w:rsidR="00207981" w:rsidRPr="00F36AB5" w:rsidRDefault="00F36AB5" w:rsidP="002356E9">
      <w:pPr>
        <w:ind w:left="0"/>
        <w:rPr>
          <w:i/>
          <w:iCs/>
          <w:sz w:val="20"/>
          <w:szCs w:val="20"/>
          <w:lang w:val="ro-RO"/>
        </w:rPr>
      </w:pPr>
      <w:r w:rsidRPr="00F36AB5">
        <w:rPr>
          <w:i/>
          <w:iCs/>
          <w:sz w:val="20"/>
          <w:szCs w:val="20"/>
          <w:lang w:val="ro-RO"/>
        </w:rPr>
        <w:t>*prețul de achiziție de bază pentru un vehicul diesel poate suferi modificări până la data aprobării schemei de ajutor</w:t>
      </w:r>
    </w:p>
    <w:p w14:paraId="6FDAEFFB" w14:textId="77777777" w:rsidR="00ED1025" w:rsidRDefault="00ED1025" w:rsidP="00ED1025">
      <w:pPr>
        <w:ind w:left="0"/>
        <w:rPr>
          <w:lang w:val="ro-RO"/>
        </w:rPr>
      </w:pPr>
    </w:p>
    <w:p w14:paraId="72593AB1" w14:textId="77777777" w:rsidR="00ED1025" w:rsidRDefault="00ED1025" w:rsidP="00ED1025">
      <w:pPr>
        <w:ind w:left="0"/>
        <w:rPr>
          <w:i/>
          <w:iCs/>
          <w:sz w:val="20"/>
          <w:szCs w:val="20"/>
          <w:lang w:val="ro-RO"/>
        </w:rPr>
      </w:pPr>
    </w:p>
    <w:tbl>
      <w:tblPr>
        <w:tblStyle w:val="TableGrid"/>
        <w:tblpPr w:leftFromText="180" w:rightFromText="180" w:vertAnchor="page" w:horzAnchor="margin" w:tblpY="2911"/>
        <w:tblW w:w="0" w:type="auto"/>
        <w:tblLook w:val="04A0" w:firstRow="1" w:lastRow="0" w:firstColumn="1" w:lastColumn="0" w:noHBand="0" w:noVBand="1"/>
      </w:tblPr>
      <w:tblGrid>
        <w:gridCol w:w="3207"/>
        <w:gridCol w:w="3207"/>
        <w:gridCol w:w="3208"/>
      </w:tblGrid>
      <w:tr w:rsidR="00ED1025" w:rsidRPr="00546E7B" w14:paraId="18AC0FFD" w14:textId="77777777" w:rsidTr="00496CCE">
        <w:tc>
          <w:tcPr>
            <w:tcW w:w="3207" w:type="dxa"/>
          </w:tcPr>
          <w:p w14:paraId="372AA0DC" w14:textId="77777777" w:rsidR="00ED1025" w:rsidRDefault="00ED1025" w:rsidP="00496CCE">
            <w:pPr>
              <w:ind w:left="0"/>
              <w:rPr>
                <w:lang w:val="ro-RO"/>
              </w:rPr>
            </w:pPr>
            <w:r w:rsidRPr="005571AE">
              <w:rPr>
                <w:lang w:val="ro-RO"/>
              </w:rPr>
              <w:t xml:space="preserve">CATEGORIA </w:t>
            </w:r>
            <w:r>
              <w:rPr>
                <w:lang w:val="ro-RO"/>
              </w:rPr>
              <w:t>și</w:t>
            </w:r>
            <w:r w:rsidRPr="005571AE">
              <w:rPr>
                <w:lang w:val="ro-RO"/>
              </w:rPr>
              <w:t xml:space="preserve"> TIPUL DE VEHICUL</w:t>
            </w:r>
          </w:p>
        </w:tc>
        <w:tc>
          <w:tcPr>
            <w:tcW w:w="3207" w:type="dxa"/>
          </w:tcPr>
          <w:p w14:paraId="7969ED30" w14:textId="77777777" w:rsidR="00ED1025" w:rsidRDefault="00ED1025" w:rsidP="00496CCE">
            <w:pPr>
              <w:ind w:left="0"/>
              <w:rPr>
                <w:lang w:val="ro-RO"/>
              </w:rPr>
            </w:pPr>
            <w:r w:rsidRPr="005571AE">
              <w:rPr>
                <w:lang w:val="ro-RO"/>
              </w:rPr>
              <w:t>GAMA DE GREUTATE</w:t>
            </w:r>
          </w:p>
        </w:tc>
        <w:tc>
          <w:tcPr>
            <w:tcW w:w="3208" w:type="dxa"/>
          </w:tcPr>
          <w:p w14:paraId="6FBD3F66" w14:textId="787F35C7" w:rsidR="00ED1025" w:rsidRDefault="00ED1025" w:rsidP="00496CCE">
            <w:pPr>
              <w:ind w:left="0"/>
              <w:rPr>
                <w:lang w:val="ro-RO"/>
              </w:rPr>
            </w:pPr>
            <w:r w:rsidRPr="005571AE">
              <w:rPr>
                <w:lang w:val="ro-RO"/>
              </w:rPr>
              <w:t xml:space="preserve">PREȚ DE ACHIZIȚIE DE BAZĂ </w:t>
            </w:r>
            <w:r w:rsidR="00F36AB5">
              <w:rPr>
                <w:lang w:val="ro-RO"/>
              </w:rPr>
              <w:t xml:space="preserve">VEHICUL </w:t>
            </w:r>
            <w:r w:rsidRPr="005571AE">
              <w:rPr>
                <w:lang w:val="ro-RO"/>
              </w:rPr>
              <w:t>DIESEL FĂRĂ TVA</w:t>
            </w:r>
            <w:r w:rsidR="00F36AB5">
              <w:rPr>
                <w:lang w:val="ro-RO"/>
              </w:rPr>
              <w:t>*</w:t>
            </w:r>
          </w:p>
          <w:p w14:paraId="4A361AB9" w14:textId="77777777" w:rsidR="00ED1025" w:rsidRDefault="00ED1025" w:rsidP="00496CCE">
            <w:pPr>
              <w:ind w:left="0"/>
              <w:rPr>
                <w:lang w:val="ro-RO"/>
              </w:rPr>
            </w:pPr>
          </w:p>
        </w:tc>
      </w:tr>
      <w:tr w:rsidR="00ED1025" w14:paraId="0A07155F" w14:textId="77777777" w:rsidTr="00496CCE">
        <w:tc>
          <w:tcPr>
            <w:tcW w:w="3207" w:type="dxa"/>
          </w:tcPr>
          <w:p w14:paraId="1BEE1C27" w14:textId="77777777" w:rsidR="00ED1025" w:rsidRDefault="00ED1025" w:rsidP="00496CCE">
            <w:pPr>
              <w:ind w:left="0"/>
              <w:rPr>
                <w:lang w:val="ro-RO"/>
              </w:rPr>
            </w:pPr>
            <w:r w:rsidRPr="005571AE">
              <w:rPr>
                <w:lang w:val="ro-RO"/>
              </w:rPr>
              <w:t>N2 Camionetă/camionetă ușoară</w:t>
            </w:r>
          </w:p>
        </w:tc>
        <w:tc>
          <w:tcPr>
            <w:tcW w:w="3207" w:type="dxa"/>
          </w:tcPr>
          <w:p w14:paraId="18BAC356" w14:textId="77777777" w:rsidR="00ED1025" w:rsidRDefault="00ED1025" w:rsidP="00496CCE">
            <w:pPr>
              <w:ind w:left="0"/>
              <w:rPr>
                <w:lang w:val="ro-RO"/>
              </w:rPr>
            </w:pPr>
            <w:r w:rsidRPr="005571AE">
              <w:rPr>
                <w:lang w:val="ro-RO"/>
              </w:rPr>
              <w:t>Peste 3,5 t până la aproximativ 5 t</w:t>
            </w:r>
          </w:p>
        </w:tc>
        <w:tc>
          <w:tcPr>
            <w:tcW w:w="3208" w:type="dxa"/>
          </w:tcPr>
          <w:p w14:paraId="4FE47270" w14:textId="77777777" w:rsidR="00ED1025" w:rsidRPr="00F36AB5" w:rsidRDefault="00ED1025" w:rsidP="00496CCE">
            <w:pPr>
              <w:ind w:left="0"/>
              <w:rPr>
                <w:lang w:val="ro-RO"/>
              </w:rPr>
            </w:pPr>
            <w:r w:rsidRPr="00F36AB5">
              <w:rPr>
                <w:lang w:val="ro-RO"/>
              </w:rPr>
              <w:t>80.000 </w:t>
            </w:r>
            <w:r w:rsidRPr="00F36AB5">
              <w:rPr>
                <w:lang w:val="ro-RO"/>
              </w:rPr>
              <w:tab/>
              <w:t>Euro</w:t>
            </w:r>
          </w:p>
        </w:tc>
      </w:tr>
      <w:tr w:rsidR="00ED1025" w14:paraId="30A31F75" w14:textId="77777777" w:rsidTr="00496CCE">
        <w:tc>
          <w:tcPr>
            <w:tcW w:w="3207" w:type="dxa"/>
          </w:tcPr>
          <w:p w14:paraId="4CCB9974" w14:textId="77777777" w:rsidR="00ED1025" w:rsidRDefault="00ED1025" w:rsidP="00496CCE">
            <w:pPr>
              <w:ind w:left="0"/>
              <w:rPr>
                <w:lang w:val="ro-RO"/>
              </w:rPr>
            </w:pPr>
            <w:r w:rsidRPr="005571AE">
              <w:rPr>
                <w:lang w:val="ro-RO"/>
              </w:rPr>
              <w:t>N2 Furgonetă/camion ușor</w:t>
            </w:r>
          </w:p>
        </w:tc>
        <w:tc>
          <w:tcPr>
            <w:tcW w:w="3207" w:type="dxa"/>
          </w:tcPr>
          <w:p w14:paraId="39CADCF8" w14:textId="77777777" w:rsidR="00ED1025" w:rsidRDefault="00ED1025" w:rsidP="00496CCE">
            <w:pPr>
              <w:ind w:left="0"/>
              <w:rPr>
                <w:lang w:val="ro-RO"/>
              </w:rPr>
            </w:pPr>
            <w:r w:rsidRPr="005571AE">
              <w:rPr>
                <w:lang w:val="ro-RO"/>
              </w:rPr>
              <w:t>c. 5,5t până la 8,5t</w:t>
            </w:r>
          </w:p>
        </w:tc>
        <w:tc>
          <w:tcPr>
            <w:tcW w:w="3208" w:type="dxa"/>
          </w:tcPr>
          <w:p w14:paraId="368BEA2A" w14:textId="77777777" w:rsidR="00ED1025" w:rsidRPr="00F36AB5" w:rsidRDefault="00ED1025" w:rsidP="00496CCE">
            <w:pPr>
              <w:ind w:left="0"/>
              <w:rPr>
                <w:lang w:val="ro-RO"/>
              </w:rPr>
            </w:pPr>
            <w:r w:rsidRPr="00F36AB5">
              <w:rPr>
                <w:lang w:val="ro-RO"/>
              </w:rPr>
              <w:t>118.000 </w:t>
            </w:r>
            <w:r w:rsidRPr="00F36AB5">
              <w:rPr>
                <w:lang w:val="ro-RO"/>
              </w:rPr>
              <w:tab/>
              <w:t>Euro</w:t>
            </w:r>
          </w:p>
        </w:tc>
      </w:tr>
      <w:tr w:rsidR="00ED1025" w14:paraId="1DCF5958" w14:textId="77777777" w:rsidTr="00496CCE">
        <w:tc>
          <w:tcPr>
            <w:tcW w:w="3207" w:type="dxa"/>
          </w:tcPr>
          <w:p w14:paraId="7CFA88F1" w14:textId="77777777" w:rsidR="00ED1025" w:rsidRDefault="00ED1025" w:rsidP="00496CCE">
            <w:pPr>
              <w:ind w:left="0"/>
              <w:rPr>
                <w:lang w:val="ro-RO"/>
              </w:rPr>
            </w:pPr>
            <w:r w:rsidRPr="005571AE">
              <w:rPr>
                <w:lang w:val="ro-RO"/>
              </w:rPr>
              <w:t>N2 și N3 Camion</w:t>
            </w:r>
          </w:p>
        </w:tc>
        <w:tc>
          <w:tcPr>
            <w:tcW w:w="3207" w:type="dxa"/>
          </w:tcPr>
          <w:p w14:paraId="326483A8" w14:textId="77777777" w:rsidR="00ED1025" w:rsidRDefault="00ED1025" w:rsidP="00496CCE">
            <w:pPr>
              <w:ind w:left="0"/>
              <w:rPr>
                <w:lang w:val="ro-RO"/>
              </w:rPr>
            </w:pPr>
            <w:r w:rsidRPr="005571AE">
              <w:rPr>
                <w:lang w:val="ro-RO"/>
              </w:rPr>
              <w:t>peste 8,5 t până la 16 t</w:t>
            </w:r>
          </w:p>
        </w:tc>
        <w:tc>
          <w:tcPr>
            <w:tcW w:w="3208" w:type="dxa"/>
          </w:tcPr>
          <w:p w14:paraId="551B927B" w14:textId="77777777" w:rsidR="00ED1025" w:rsidRPr="00F36AB5" w:rsidRDefault="00ED1025" w:rsidP="00496CCE">
            <w:pPr>
              <w:ind w:left="0"/>
              <w:rPr>
                <w:lang w:val="ro-RO"/>
              </w:rPr>
            </w:pPr>
            <w:r w:rsidRPr="00F36AB5">
              <w:rPr>
                <w:lang w:val="ro-RO"/>
              </w:rPr>
              <w:t xml:space="preserve">                                       125.000 </w:t>
            </w:r>
            <w:r w:rsidRPr="00F36AB5">
              <w:rPr>
                <w:lang w:val="ro-RO"/>
              </w:rPr>
              <w:tab/>
              <w:t>Euro</w:t>
            </w:r>
          </w:p>
        </w:tc>
      </w:tr>
      <w:tr w:rsidR="00ED1025" w14:paraId="10538B8C" w14:textId="77777777" w:rsidTr="00496CCE">
        <w:tc>
          <w:tcPr>
            <w:tcW w:w="3207" w:type="dxa"/>
          </w:tcPr>
          <w:p w14:paraId="36A34495" w14:textId="77777777" w:rsidR="00ED1025" w:rsidRDefault="00ED1025" w:rsidP="00496CCE">
            <w:pPr>
              <w:ind w:left="0"/>
              <w:rPr>
                <w:lang w:val="ro-RO"/>
              </w:rPr>
            </w:pPr>
            <w:r w:rsidRPr="005571AE">
              <w:rPr>
                <w:lang w:val="ro-RO"/>
              </w:rPr>
              <w:t>N3 Camion rigid</w:t>
            </w:r>
          </w:p>
        </w:tc>
        <w:tc>
          <w:tcPr>
            <w:tcW w:w="3207" w:type="dxa"/>
          </w:tcPr>
          <w:p w14:paraId="308AEA23" w14:textId="77777777" w:rsidR="00ED1025" w:rsidRDefault="00ED1025" w:rsidP="00496CCE">
            <w:pPr>
              <w:ind w:left="0"/>
              <w:rPr>
                <w:lang w:val="ro-RO"/>
              </w:rPr>
            </w:pPr>
            <w:r w:rsidRPr="005571AE">
              <w:rPr>
                <w:lang w:val="ro-RO"/>
              </w:rPr>
              <w:t>peste 16t până la 20t</w:t>
            </w:r>
          </w:p>
        </w:tc>
        <w:tc>
          <w:tcPr>
            <w:tcW w:w="3208" w:type="dxa"/>
          </w:tcPr>
          <w:p w14:paraId="5C450AAB" w14:textId="77777777" w:rsidR="00ED1025" w:rsidRPr="00F36AB5" w:rsidRDefault="00ED1025" w:rsidP="00496CCE">
            <w:pPr>
              <w:ind w:left="0"/>
              <w:rPr>
                <w:lang w:val="ro-RO"/>
              </w:rPr>
            </w:pPr>
            <w:r w:rsidRPr="00F36AB5">
              <w:rPr>
                <w:lang w:val="ro-RO"/>
              </w:rPr>
              <w:t>300.000 </w:t>
            </w:r>
            <w:r w:rsidRPr="00F36AB5">
              <w:rPr>
                <w:lang w:val="ro-RO"/>
              </w:rPr>
              <w:tab/>
              <w:t>Euro</w:t>
            </w:r>
          </w:p>
          <w:p w14:paraId="5FB726AC" w14:textId="77777777" w:rsidR="00ED1025" w:rsidRPr="00F36AB5" w:rsidRDefault="00ED1025" w:rsidP="00496CCE">
            <w:pPr>
              <w:ind w:left="0"/>
              <w:rPr>
                <w:lang w:val="ro-RO"/>
              </w:rPr>
            </w:pPr>
          </w:p>
        </w:tc>
      </w:tr>
      <w:tr w:rsidR="00ED1025" w14:paraId="09186340" w14:textId="77777777" w:rsidTr="00496CCE">
        <w:tc>
          <w:tcPr>
            <w:tcW w:w="3207" w:type="dxa"/>
          </w:tcPr>
          <w:p w14:paraId="701D4562" w14:textId="77777777" w:rsidR="00ED1025" w:rsidRDefault="00ED1025" w:rsidP="00496CCE">
            <w:pPr>
              <w:ind w:left="0"/>
              <w:rPr>
                <w:lang w:val="ro-RO"/>
              </w:rPr>
            </w:pPr>
            <w:r w:rsidRPr="005571AE">
              <w:rPr>
                <w:lang w:val="ro-RO"/>
              </w:rPr>
              <w:t>N3 Camion articulat</w:t>
            </w:r>
          </w:p>
        </w:tc>
        <w:tc>
          <w:tcPr>
            <w:tcW w:w="3207" w:type="dxa"/>
          </w:tcPr>
          <w:p w14:paraId="2DFBC467" w14:textId="77777777" w:rsidR="00ED1025" w:rsidRDefault="00ED1025" w:rsidP="00496CCE">
            <w:pPr>
              <w:ind w:left="0"/>
              <w:rPr>
                <w:lang w:val="ro-RO"/>
              </w:rPr>
            </w:pPr>
            <w:r w:rsidRPr="005571AE">
              <w:rPr>
                <w:lang w:val="ro-RO"/>
              </w:rPr>
              <w:t>peste 16t până la 19t</w:t>
            </w:r>
          </w:p>
        </w:tc>
        <w:tc>
          <w:tcPr>
            <w:tcW w:w="3208" w:type="dxa"/>
          </w:tcPr>
          <w:p w14:paraId="2EAA6A60" w14:textId="77777777" w:rsidR="00ED1025" w:rsidRPr="00F36AB5" w:rsidRDefault="00ED1025" w:rsidP="00496CCE">
            <w:pPr>
              <w:ind w:left="0"/>
              <w:rPr>
                <w:lang w:val="ro-RO"/>
              </w:rPr>
            </w:pPr>
            <w:r w:rsidRPr="00F36AB5">
              <w:rPr>
                <w:lang w:val="ro-RO"/>
              </w:rPr>
              <w:t>290.000</w:t>
            </w:r>
            <w:r w:rsidRPr="00F36AB5">
              <w:rPr>
                <w:lang w:val="ro-RO"/>
              </w:rPr>
              <w:tab/>
              <w:t>Euro</w:t>
            </w:r>
          </w:p>
          <w:p w14:paraId="5ABFBF3D" w14:textId="77777777" w:rsidR="00ED1025" w:rsidRPr="00F36AB5" w:rsidRDefault="00ED1025" w:rsidP="00496CCE">
            <w:pPr>
              <w:ind w:left="0"/>
              <w:rPr>
                <w:lang w:val="ro-RO"/>
              </w:rPr>
            </w:pPr>
          </w:p>
        </w:tc>
      </w:tr>
      <w:tr w:rsidR="00ED1025" w14:paraId="431BBCC5" w14:textId="77777777" w:rsidTr="00496CCE">
        <w:tc>
          <w:tcPr>
            <w:tcW w:w="3207" w:type="dxa"/>
          </w:tcPr>
          <w:p w14:paraId="07A44ACC" w14:textId="77777777" w:rsidR="00ED1025" w:rsidRPr="005571AE" w:rsidRDefault="00ED1025" w:rsidP="00496CCE">
            <w:pPr>
              <w:ind w:left="0"/>
              <w:rPr>
                <w:lang w:val="ro-RO"/>
              </w:rPr>
            </w:pPr>
            <w:r w:rsidRPr="005571AE">
              <w:rPr>
                <w:lang w:val="ro-RO"/>
              </w:rPr>
              <w:t>N3 Autocamion rigid/articulat</w:t>
            </w:r>
          </w:p>
        </w:tc>
        <w:tc>
          <w:tcPr>
            <w:tcW w:w="3207" w:type="dxa"/>
          </w:tcPr>
          <w:p w14:paraId="44D61E98" w14:textId="77777777" w:rsidR="00ED1025" w:rsidRPr="005571AE" w:rsidRDefault="00ED1025" w:rsidP="00496CCE">
            <w:pPr>
              <w:ind w:left="0"/>
              <w:rPr>
                <w:lang w:val="ro-RO"/>
              </w:rPr>
            </w:pPr>
            <w:r>
              <w:rPr>
                <w:lang w:val="ro-RO"/>
              </w:rPr>
              <w:t xml:space="preserve">peste  </w:t>
            </w:r>
            <w:r w:rsidRPr="005571AE">
              <w:rPr>
                <w:lang w:val="ro-RO"/>
              </w:rPr>
              <w:t>19t până la 46t  </w:t>
            </w:r>
          </w:p>
        </w:tc>
        <w:tc>
          <w:tcPr>
            <w:tcW w:w="3208" w:type="dxa"/>
          </w:tcPr>
          <w:p w14:paraId="656086AE" w14:textId="77777777" w:rsidR="00ED1025" w:rsidRPr="00F36AB5" w:rsidRDefault="00ED1025" w:rsidP="00496CCE">
            <w:pPr>
              <w:ind w:left="0"/>
              <w:rPr>
                <w:lang w:val="ro-RO"/>
              </w:rPr>
            </w:pPr>
            <w:r w:rsidRPr="00F36AB5">
              <w:rPr>
                <w:lang w:val="ro-RO"/>
              </w:rPr>
              <w:t>320.000</w:t>
            </w:r>
            <w:r w:rsidRPr="00F36AB5">
              <w:rPr>
                <w:lang w:val="ro-RO"/>
              </w:rPr>
              <w:tab/>
              <w:t>Euro</w:t>
            </w:r>
          </w:p>
        </w:tc>
      </w:tr>
    </w:tbl>
    <w:p w14:paraId="55393963" w14:textId="474AAC75" w:rsidR="00C108D0" w:rsidRPr="00C108D0" w:rsidRDefault="00C108D0" w:rsidP="00C108D0">
      <w:pPr>
        <w:ind w:left="0"/>
        <w:rPr>
          <w:lang w:val="ro-RO"/>
        </w:rPr>
      </w:pPr>
      <w:r w:rsidRPr="00C108D0">
        <w:rPr>
          <w:lang w:val="ro-RO"/>
        </w:rPr>
        <w:t>Pentru vehiculele electrice din intervalele de greutate stabilite mai</w:t>
      </w:r>
      <w:r>
        <w:rPr>
          <w:lang w:val="ro-RO"/>
        </w:rPr>
        <w:t xml:space="preserve"> sus</w:t>
      </w:r>
      <w:r w:rsidRPr="00C108D0">
        <w:rPr>
          <w:lang w:val="ro-RO"/>
        </w:rPr>
        <w:t>, diferența de preț este diferența dintre prețul de referință al</w:t>
      </w:r>
      <w:r>
        <w:rPr>
          <w:lang w:val="ro-RO"/>
        </w:rPr>
        <w:t xml:space="preserve"> vehiculelor pe motorină</w:t>
      </w:r>
      <w:r w:rsidRPr="00C108D0">
        <w:rPr>
          <w:lang w:val="ro-RO"/>
        </w:rPr>
        <w:t xml:space="preserve"> din tabelul </w:t>
      </w:r>
      <w:r w:rsidR="00847935">
        <w:rPr>
          <w:lang w:val="ro-RO"/>
        </w:rPr>
        <w:t>nr. 1</w:t>
      </w:r>
      <w:r w:rsidRPr="00C108D0">
        <w:rPr>
          <w:lang w:val="ro-RO"/>
        </w:rPr>
        <w:t xml:space="preserve"> și prețul de achiziție (fără TVA și reduceri) din factura de achiziție </w:t>
      </w:r>
      <w:r>
        <w:rPr>
          <w:lang w:val="ro-RO"/>
        </w:rPr>
        <w:t xml:space="preserve">a vehiculului cu emisii zero </w:t>
      </w:r>
      <w:r w:rsidRPr="00C108D0">
        <w:rPr>
          <w:lang w:val="ro-RO"/>
        </w:rPr>
        <w:t>care urmează să fie furnizată de solicitant în cadrul procesului de .</w:t>
      </w:r>
    </w:p>
    <w:p w14:paraId="0F5B5D04" w14:textId="77777777" w:rsidR="00C108D0" w:rsidRPr="00C108D0" w:rsidRDefault="00C108D0" w:rsidP="00C108D0">
      <w:pPr>
        <w:ind w:left="0"/>
        <w:rPr>
          <w:lang w:val="ro-RO"/>
        </w:rPr>
      </w:pPr>
    </w:p>
    <w:p w14:paraId="3F0C11F5" w14:textId="5E24EBF6" w:rsidR="00C108D0" w:rsidRPr="00E556A5" w:rsidRDefault="00C108D0" w:rsidP="00C108D0">
      <w:pPr>
        <w:ind w:left="0"/>
        <w:rPr>
          <w:u w:val="single"/>
          <w:lang w:val="ro-RO"/>
        </w:rPr>
      </w:pPr>
      <w:r w:rsidRPr="00E556A5">
        <w:rPr>
          <w:u w:val="single"/>
          <w:lang w:val="ro-RO"/>
        </w:rPr>
        <w:t>Acest calcul poate fi rezumat astfel:</w:t>
      </w:r>
    </w:p>
    <w:p w14:paraId="70808E89" w14:textId="0A4F85F7" w:rsidR="00C108D0" w:rsidRPr="00C108D0" w:rsidRDefault="00C108D0" w:rsidP="00C108D0">
      <w:pPr>
        <w:ind w:left="0"/>
        <w:rPr>
          <w:lang w:val="ro-RO"/>
        </w:rPr>
      </w:pPr>
      <w:r w:rsidRPr="00C108D0">
        <w:rPr>
          <w:lang w:val="ro-RO"/>
        </w:rPr>
        <w:t xml:space="preserve">Diferența de preț = (prețul de achiziție </w:t>
      </w:r>
      <w:r>
        <w:rPr>
          <w:lang w:val="ro-RO"/>
        </w:rPr>
        <w:t>al vehiculului cu zero emisii</w:t>
      </w:r>
      <w:r w:rsidRPr="00C108D0">
        <w:rPr>
          <w:lang w:val="ro-RO"/>
        </w:rPr>
        <w:t xml:space="preserve"> ) - (costul de referință al unui H</w:t>
      </w:r>
      <w:r>
        <w:rPr>
          <w:lang w:val="ro-RO"/>
        </w:rPr>
        <w:t>G</w:t>
      </w:r>
      <w:r w:rsidRPr="00C108D0">
        <w:rPr>
          <w:lang w:val="ro-RO"/>
        </w:rPr>
        <w:t xml:space="preserve">V diesel echivalent) </w:t>
      </w:r>
    </w:p>
    <w:p w14:paraId="75C5049F" w14:textId="4702B9CC" w:rsidR="005571AE" w:rsidRDefault="00C108D0" w:rsidP="00C108D0">
      <w:pPr>
        <w:ind w:left="0"/>
        <w:rPr>
          <w:lang w:val="ro-RO"/>
        </w:rPr>
      </w:pPr>
      <w:r w:rsidRPr="00C108D0">
        <w:rPr>
          <w:lang w:val="ro-RO"/>
        </w:rPr>
        <w:t xml:space="preserve">unde prețul de achiziție </w:t>
      </w:r>
      <w:r>
        <w:rPr>
          <w:lang w:val="ro-RO"/>
        </w:rPr>
        <w:t>al vehiculului cu zero emisii</w:t>
      </w:r>
      <w:r w:rsidRPr="00C108D0">
        <w:rPr>
          <w:lang w:val="ro-RO"/>
        </w:rPr>
        <w:t xml:space="preserve"> și costul de referință al H</w:t>
      </w:r>
      <w:r>
        <w:rPr>
          <w:lang w:val="ro-RO"/>
        </w:rPr>
        <w:t>G</w:t>
      </w:r>
      <w:r w:rsidRPr="00C108D0">
        <w:rPr>
          <w:lang w:val="ro-RO"/>
        </w:rPr>
        <w:t xml:space="preserve">V diesel echivalent nu includ TVA sau alte </w:t>
      </w:r>
      <w:r>
        <w:rPr>
          <w:lang w:val="ro-RO"/>
        </w:rPr>
        <w:t xml:space="preserve">deduceri </w:t>
      </w:r>
      <w:r w:rsidRPr="00C108D0">
        <w:rPr>
          <w:lang w:val="ro-RO"/>
        </w:rPr>
        <w:t>suplimentare.</w:t>
      </w:r>
    </w:p>
    <w:p w14:paraId="53DC7F42" w14:textId="77777777" w:rsidR="005571AE" w:rsidRDefault="005571AE" w:rsidP="005571AE">
      <w:pPr>
        <w:ind w:left="0"/>
        <w:jc w:val="center"/>
        <w:rPr>
          <w:lang w:val="ro-RO"/>
        </w:rPr>
      </w:pPr>
    </w:p>
    <w:p w14:paraId="603E7717" w14:textId="77777777" w:rsidR="005606E6" w:rsidRPr="00B44A9C" w:rsidRDefault="005606E6" w:rsidP="000B1866">
      <w:pPr>
        <w:ind w:left="567"/>
        <w:rPr>
          <w:lang w:val="ro-RO"/>
        </w:rPr>
      </w:pPr>
    </w:p>
    <w:p w14:paraId="097A245D" w14:textId="77777777" w:rsidR="005606E6" w:rsidRPr="00B44A9C" w:rsidRDefault="005606E6" w:rsidP="000B1866">
      <w:pPr>
        <w:ind w:left="567"/>
        <w:rPr>
          <w:lang w:val="ro-RO"/>
        </w:rPr>
      </w:pPr>
    </w:p>
    <w:p w14:paraId="2AA3456B" w14:textId="77777777" w:rsidR="00ED1025" w:rsidRPr="00B44A9C" w:rsidRDefault="00ED1025" w:rsidP="000B1866">
      <w:pPr>
        <w:ind w:left="567"/>
        <w:rPr>
          <w:lang w:val="ro-RO"/>
        </w:rPr>
      </w:pPr>
    </w:p>
    <w:p w14:paraId="3C012E0D" w14:textId="77777777" w:rsidR="00ED1025" w:rsidRPr="00B44A9C" w:rsidRDefault="00ED1025" w:rsidP="000B1866">
      <w:pPr>
        <w:ind w:left="567"/>
        <w:rPr>
          <w:lang w:val="ro-RO"/>
        </w:rPr>
      </w:pPr>
    </w:p>
    <w:p w14:paraId="6DBF363A" w14:textId="77777777" w:rsidR="00ED1025" w:rsidRPr="00B44A9C" w:rsidRDefault="00ED1025" w:rsidP="000B1866">
      <w:pPr>
        <w:ind w:left="567"/>
        <w:rPr>
          <w:lang w:val="ro-RO"/>
        </w:rPr>
      </w:pPr>
    </w:p>
    <w:p w14:paraId="472A659D" w14:textId="77777777" w:rsidR="00ED1025" w:rsidRPr="00B44A9C" w:rsidRDefault="00ED1025" w:rsidP="000B1866">
      <w:pPr>
        <w:ind w:left="567"/>
        <w:rPr>
          <w:lang w:val="ro-RO"/>
        </w:rPr>
      </w:pPr>
    </w:p>
    <w:p w14:paraId="3F90F598" w14:textId="77777777" w:rsidR="00ED1025" w:rsidRPr="00B44A9C" w:rsidRDefault="00ED1025" w:rsidP="000B1866">
      <w:pPr>
        <w:ind w:left="567"/>
        <w:rPr>
          <w:lang w:val="ro-RO"/>
        </w:rPr>
      </w:pPr>
    </w:p>
    <w:p w14:paraId="618FF596" w14:textId="1AF9F1BF" w:rsidR="005606E6" w:rsidRPr="00B44A9C" w:rsidRDefault="005606E6" w:rsidP="005606E6">
      <w:pPr>
        <w:ind w:left="567"/>
        <w:jc w:val="center"/>
        <w:rPr>
          <w:lang w:val="fr-FR"/>
        </w:rPr>
      </w:pPr>
      <w:r w:rsidRPr="00B44A9C">
        <w:rPr>
          <w:lang w:val="fr-FR"/>
        </w:rPr>
        <w:t>ANEXA III</w:t>
      </w:r>
    </w:p>
    <w:p w14:paraId="651811F5" w14:textId="13919DED" w:rsidR="005423D6" w:rsidRPr="00B44A9C" w:rsidRDefault="005423D6" w:rsidP="005606E6">
      <w:pPr>
        <w:ind w:left="567"/>
        <w:jc w:val="center"/>
        <w:rPr>
          <w:lang w:val="fr-FR"/>
        </w:rPr>
      </w:pPr>
      <w:proofErr w:type="spellStart"/>
      <w:r w:rsidRPr="00B44A9C">
        <w:rPr>
          <w:lang w:val="fr-FR"/>
        </w:rPr>
        <w:t>Factori</w:t>
      </w:r>
      <w:proofErr w:type="spellEnd"/>
      <w:r w:rsidRPr="00B44A9C">
        <w:rPr>
          <w:lang w:val="fr-FR"/>
        </w:rPr>
        <w:t xml:space="preserve"> de </w:t>
      </w:r>
      <w:proofErr w:type="spellStart"/>
      <w:r w:rsidRPr="00B44A9C">
        <w:rPr>
          <w:lang w:val="fr-FR"/>
        </w:rPr>
        <w:t>emisie</w:t>
      </w:r>
      <w:proofErr w:type="spellEnd"/>
      <w:r w:rsidRPr="00B44A9C">
        <w:rPr>
          <w:lang w:val="fr-FR"/>
        </w:rPr>
        <w:t xml:space="preserve"> </w:t>
      </w:r>
      <w:proofErr w:type="spellStart"/>
      <w:r w:rsidRPr="00B44A9C">
        <w:rPr>
          <w:lang w:val="fr-FR"/>
        </w:rPr>
        <w:t>pentru</w:t>
      </w:r>
      <w:proofErr w:type="spellEnd"/>
      <w:r w:rsidRPr="00B44A9C">
        <w:rPr>
          <w:lang w:val="fr-FR"/>
        </w:rPr>
        <w:t xml:space="preserve"> transport</w:t>
      </w:r>
    </w:p>
    <w:p w14:paraId="1EECB9F1" w14:textId="77777777" w:rsidR="005606E6" w:rsidRPr="00B44A9C" w:rsidRDefault="005606E6" w:rsidP="005606E6">
      <w:pPr>
        <w:ind w:left="567"/>
        <w:jc w:val="center"/>
        <w:rPr>
          <w:lang w:val="fr-FR"/>
        </w:rPr>
      </w:pPr>
    </w:p>
    <w:tbl>
      <w:tblPr>
        <w:tblpPr w:leftFromText="180" w:rightFromText="180" w:vertAnchor="text" w:horzAnchor="margin" w:tblpXSpec="center" w:tblpY="327"/>
        <w:tblW w:w="10733" w:type="dxa"/>
        <w:tblLayout w:type="fixed"/>
        <w:tblLook w:val="0000" w:firstRow="0" w:lastRow="0" w:firstColumn="0" w:lastColumn="0" w:noHBand="0" w:noVBand="0"/>
      </w:tblPr>
      <w:tblGrid>
        <w:gridCol w:w="4029"/>
        <w:gridCol w:w="1602"/>
        <w:gridCol w:w="1660"/>
        <w:gridCol w:w="1662"/>
        <w:gridCol w:w="1780"/>
      </w:tblGrid>
      <w:tr w:rsidR="005606E6" w:rsidRPr="00B44A9C" w14:paraId="42925AC9" w14:textId="77777777" w:rsidTr="005606E6">
        <w:trPr>
          <w:trHeight w:val="502"/>
        </w:trPr>
        <w:tc>
          <w:tcPr>
            <w:tcW w:w="4029" w:type="dxa"/>
            <w:tcBorders>
              <w:top w:val="single" w:sz="12" w:space="0" w:color="auto"/>
              <w:left w:val="single" w:sz="12" w:space="0" w:color="auto"/>
              <w:bottom w:val="nil"/>
              <w:right w:val="single" w:sz="6" w:space="0" w:color="auto"/>
            </w:tcBorders>
          </w:tcPr>
          <w:p w14:paraId="4D1A99DB" w14:textId="77777777" w:rsidR="005606E6" w:rsidRPr="00ED1025" w:rsidRDefault="005606E6" w:rsidP="005606E6">
            <w:pPr>
              <w:autoSpaceDE w:val="0"/>
              <w:autoSpaceDN w:val="0"/>
              <w:adjustRightInd w:val="0"/>
              <w:spacing w:after="0" w:line="240" w:lineRule="auto"/>
              <w:ind w:left="0"/>
              <w:jc w:val="center"/>
              <w:rPr>
                <w:rFonts w:cs="Calibri"/>
                <w:color w:val="000000"/>
                <w:lang w:val="ro-RO" w:eastAsia="ro-RO"/>
              </w:rPr>
            </w:pPr>
            <w:r w:rsidRPr="00ED1025">
              <w:rPr>
                <w:rFonts w:cs="Calibri"/>
                <w:color w:val="000000"/>
                <w:lang w:val="ro-RO" w:eastAsia="ro-RO"/>
              </w:rPr>
              <w:t>Tip vehicul</w:t>
            </w:r>
          </w:p>
        </w:tc>
        <w:tc>
          <w:tcPr>
            <w:tcW w:w="1601" w:type="dxa"/>
            <w:tcBorders>
              <w:top w:val="single" w:sz="12" w:space="0" w:color="auto"/>
              <w:left w:val="single" w:sz="6" w:space="0" w:color="auto"/>
              <w:bottom w:val="nil"/>
              <w:right w:val="single" w:sz="6" w:space="0" w:color="auto"/>
            </w:tcBorders>
          </w:tcPr>
          <w:p w14:paraId="108D37C9" w14:textId="77777777" w:rsidR="005606E6" w:rsidRPr="00ED1025" w:rsidRDefault="005606E6" w:rsidP="005606E6">
            <w:pPr>
              <w:autoSpaceDE w:val="0"/>
              <w:autoSpaceDN w:val="0"/>
              <w:adjustRightInd w:val="0"/>
              <w:spacing w:after="0" w:line="240" w:lineRule="auto"/>
              <w:ind w:left="0"/>
              <w:jc w:val="center"/>
              <w:rPr>
                <w:rFonts w:cs="Calibri"/>
                <w:color w:val="000000"/>
                <w:lang w:val="ro-RO" w:eastAsia="ro-RO"/>
              </w:rPr>
            </w:pPr>
            <w:r w:rsidRPr="00ED1025">
              <w:rPr>
                <w:rFonts w:cs="Calibri"/>
                <w:color w:val="000000"/>
                <w:lang w:val="ro-RO" w:eastAsia="ro-RO"/>
              </w:rPr>
              <w:t>Consum energie (MJ/</w:t>
            </w:r>
            <w:proofErr w:type="spellStart"/>
            <w:r w:rsidRPr="00ED1025">
              <w:rPr>
                <w:rFonts w:cs="Calibri"/>
                <w:color w:val="000000"/>
                <w:lang w:val="ro-RO" w:eastAsia="ro-RO"/>
              </w:rPr>
              <w:t>veh</w:t>
            </w:r>
            <w:proofErr w:type="spellEnd"/>
            <w:r w:rsidRPr="00ED1025">
              <w:rPr>
                <w:rFonts w:cs="Calibri"/>
                <w:color w:val="000000"/>
                <w:lang w:val="ro-RO" w:eastAsia="ro-RO"/>
              </w:rPr>
              <w:t>-km)</w:t>
            </w:r>
          </w:p>
        </w:tc>
        <w:tc>
          <w:tcPr>
            <w:tcW w:w="1660" w:type="dxa"/>
            <w:tcBorders>
              <w:top w:val="single" w:sz="12" w:space="0" w:color="auto"/>
              <w:left w:val="single" w:sz="6" w:space="0" w:color="auto"/>
              <w:bottom w:val="nil"/>
              <w:right w:val="single" w:sz="6" w:space="0" w:color="auto"/>
            </w:tcBorders>
          </w:tcPr>
          <w:p w14:paraId="14A1E09B" w14:textId="77777777" w:rsidR="005606E6" w:rsidRPr="00ED1025" w:rsidRDefault="005606E6" w:rsidP="005606E6">
            <w:pPr>
              <w:autoSpaceDE w:val="0"/>
              <w:autoSpaceDN w:val="0"/>
              <w:adjustRightInd w:val="0"/>
              <w:spacing w:after="0" w:line="240" w:lineRule="auto"/>
              <w:ind w:left="0"/>
              <w:jc w:val="center"/>
              <w:rPr>
                <w:rFonts w:cs="Calibri"/>
                <w:color w:val="000000"/>
                <w:lang w:val="ro-RO" w:eastAsia="ro-RO"/>
              </w:rPr>
            </w:pPr>
            <w:r w:rsidRPr="00ED1025">
              <w:rPr>
                <w:rFonts w:cs="Calibri"/>
                <w:color w:val="000000"/>
                <w:lang w:val="ro-RO" w:eastAsia="ro-RO"/>
              </w:rPr>
              <w:t>Emisii la țeavă (gCO2e/</w:t>
            </w:r>
            <w:proofErr w:type="spellStart"/>
            <w:r w:rsidRPr="00ED1025">
              <w:rPr>
                <w:rFonts w:cs="Calibri"/>
                <w:color w:val="000000"/>
                <w:lang w:val="ro-RO" w:eastAsia="ro-RO"/>
              </w:rPr>
              <w:t>veh</w:t>
            </w:r>
            <w:proofErr w:type="spellEnd"/>
            <w:r w:rsidRPr="00ED1025">
              <w:rPr>
                <w:rFonts w:cs="Calibri"/>
                <w:color w:val="000000"/>
                <w:lang w:val="ro-RO" w:eastAsia="ro-RO"/>
              </w:rPr>
              <w:t>-km)</w:t>
            </w:r>
          </w:p>
        </w:tc>
        <w:tc>
          <w:tcPr>
            <w:tcW w:w="1661" w:type="dxa"/>
            <w:tcBorders>
              <w:top w:val="single" w:sz="12" w:space="0" w:color="auto"/>
              <w:left w:val="single" w:sz="6" w:space="0" w:color="auto"/>
              <w:bottom w:val="nil"/>
              <w:right w:val="single" w:sz="6" w:space="0" w:color="auto"/>
            </w:tcBorders>
          </w:tcPr>
          <w:p w14:paraId="213251D5" w14:textId="77777777" w:rsidR="005606E6" w:rsidRPr="00ED1025" w:rsidRDefault="005606E6" w:rsidP="005606E6">
            <w:pPr>
              <w:autoSpaceDE w:val="0"/>
              <w:autoSpaceDN w:val="0"/>
              <w:adjustRightInd w:val="0"/>
              <w:spacing w:after="0" w:line="240" w:lineRule="auto"/>
              <w:ind w:left="0"/>
              <w:jc w:val="center"/>
              <w:rPr>
                <w:rFonts w:cs="Calibri"/>
                <w:color w:val="000000"/>
                <w:lang w:val="ro-RO" w:eastAsia="ro-RO"/>
              </w:rPr>
            </w:pPr>
            <w:r w:rsidRPr="00ED1025">
              <w:rPr>
                <w:rFonts w:cs="Calibri"/>
                <w:color w:val="000000"/>
                <w:lang w:val="ro-RO" w:eastAsia="ro-RO"/>
              </w:rPr>
              <w:t>Consum energie (MJ/tona-km)</w:t>
            </w:r>
          </w:p>
        </w:tc>
        <w:tc>
          <w:tcPr>
            <w:tcW w:w="1780" w:type="dxa"/>
            <w:tcBorders>
              <w:top w:val="single" w:sz="12" w:space="0" w:color="auto"/>
              <w:left w:val="single" w:sz="6" w:space="0" w:color="auto"/>
              <w:bottom w:val="nil"/>
              <w:right w:val="single" w:sz="12" w:space="0" w:color="auto"/>
            </w:tcBorders>
          </w:tcPr>
          <w:p w14:paraId="227A22B6" w14:textId="77777777" w:rsidR="005606E6" w:rsidRPr="00ED1025" w:rsidRDefault="005606E6" w:rsidP="005606E6">
            <w:pPr>
              <w:autoSpaceDE w:val="0"/>
              <w:autoSpaceDN w:val="0"/>
              <w:adjustRightInd w:val="0"/>
              <w:spacing w:after="0" w:line="240" w:lineRule="auto"/>
              <w:ind w:left="0"/>
              <w:jc w:val="center"/>
              <w:rPr>
                <w:rFonts w:cs="Calibri"/>
                <w:color w:val="000000"/>
                <w:lang w:val="ro-RO" w:eastAsia="ro-RO"/>
              </w:rPr>
            </w:pPr>
            <w:r w:rsidRPr="00ED1025">
              <w:rPr>
                <w:rFonts w:cs="Calibri"/>
                <w:color w:val="000000"/>
                <w:lang w:val="ro-RO" w:eastAsia="ro-RO"/>
              </w:rPr>
              <w:t>Emisii la țeavă (gCO2e/tona-km)</w:t>
            </w:r>
          </w:p>
        </w:tc>
      </w:tr>
      <w:tr w:rsidR="005606E6" w:rsidRPr="00ED1025" w14:paraId="45C8C0EB" w14:textId="77777777" w:rsidTr="005606E6">
        <w:trPr>
          <w:trHeight w:val="244"/>
        </w:trPr>
        <w:tc>
          <w:tcPr>
            <w:tcW w:w="4029" w:type="dxa"/>
            <w:tcBorders>
              <w:top w:val="single" w:sz="12" w:space="0" w:color="auto"/>
              <w:left w:val="single" w:sz="12" w:space="0" w:color="auto"/>
              <w:bottom w:val="single" w:sz="6" w:space="0" w:color="auto"/>
              <w:right w:val="single" w:sz="6" w:space="0" w:color="auto"/>
            </w:tcBorders>
          </w:tcPr>
          <w:p w14:paraId="03B1B37B"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Camion Diesel &lt;= 7.5 t</w:t>
            </w:r>
          </w:p>
        </w:tc>
        <w:tc>
          <w:tcPr>
            <w:tcW w:w="1601" w:type="dxa"/>
            <w:tcBorders>
              <w:top w:val="single" w:sz="12" w:space="0" w:color="auto"/>
              <w:left w:val="single" w:sz="6" w:space="0" w:color="auto"/>
              <w:bottom w:val="single" w:sz="6" w:space="0" w:color="auto"/>
              <w:right w:val="single" w:sz="6" w:space="0" w:color="auto"/>
            </w:tcBorders>
          </w:tcPr>
          <w:p w14:paraId="533F1CB8"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4.44</w:t>
            </w:r>
          </w:p>
        </w:tc>
        <w:tc>
          <w:tcPr>
            <w:tcW w:w="1660" w:type="dxa"/>
            <w:tcBorders>
              <w:top w:val="single" w:sz="12" w:space="0" w:color="auto"/>
              <w:left w:val="single" w:sz="6" w:space="0" w:color="auto"/>
              <w:bottom w:val="single" w:sz="6" w:space="0" w:color="auto"/>
              <w:right w:val="single" w:sz="6" w:space="0" w:color="auto"/>
            </w:tcBorders>
          </w:tcPr>
          <w:p w14:paraId="373DB109"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315</w:t>
            </w:r>
          </w:p>
        </w:tc>
        <w:tc>
          <w:tcPr>
            <w:tcW w:w="1661" w:type="dxa"/>
            <w:tcBorders>
              <w:top w:val="single" w:sz="12" w:space="0" w:color="auto"/>
              <w:left w:val="single" w:sz="6" w:space="0" w:color="auto"/>
              <w:bottom w:val="single" w:sz="6" w:space="0" w:color="auto"/>
              <w:right w:val="nil"/>
            </w:tcBorders>
          </w:tcPr>
          <w:p w14:paraId="54BD793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5.14</w:t>
            </w:r>
          </w:p>
        </w:tc>
        <w:tc>
          <w:tcPr>
            <w:tcW w:w="1780" w:type="dxa"/>
            <w:tcBorders>
              <w:top w:val="single" w:sz="12" w:space="0" w:color="auto"/>
              <w:left w:val="single" w:sz="6" w:space="0" w:color="auto"/>
              <w:bottom w:val="single" w:sz="6" w:space="0" w:color="auto"/>
              <w:right w:val="single" w:sz="12" w:space="0" w:color="auto"/>
            </w:tcBorders>
          </w:tcPr>
          <w:p w14:paraId="03E00FBF"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364</w:t>
            </w:r>
          </w:p>
        </w:tc>
      </w:tr>
      <w:tr w:rsidR="005606E6" w:rsidRPr="00ED1025" w14:paraId="49A960A2"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419DC97E"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Camion Diesel 7.5 - 16 t</w:t>
            </w:r>
          </w:p>
        </w:tc>
        <w:tc>
          <w:tcPr>
            <w:tcW w:w="1601" w:type="dxa"/>
            <w:tcBorders>
              <w:top w:val="single" w:sz="6" w:space="0" w:color="auto"/>
              <w:left w:val="single" w:sz="6" w:space="0" w:color="auto"/>
              <w:bottom w:val="single" w:sz="6" w:space="0" w:color="auto"/>
              <w:right w:val="single" w:sz="6" w:space="0" w:color="auto"/>
            </w:tcBorders>
          </w:tcPr>
          <w:p w14:paraId="5D47C39C"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6.57</w:t>
            </w:r>
          </w:p>
        </w:tc>
        <w:tc>
          <w:tcPr>
            <w:tcW w:w="1660" w:type="dxa"/>
            <w:tcBorders>
              <w:top w:val="single" w:sz="6" w:space="0" w:color="auto"/>
              <w:left w:val="single" w:sz="6" w:space="0" w:color="auto"/>
              <w:bottom w:val="single" w:sz="6" w:space="0" w:color="auto"/>
              <w:right w:val="single" w:sz="6" w:space="0" w:color="auto"/>
            </w:tcBorders>
          </w:tcPr>
          <w:p w14:paraId="25281389"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465</w:t>
            </w:r>
          </w:p>
        </w:tc>
        <w:tc>
          <w:tcPr>
            <w:tcW w:w="1661" w:type="dxa"/>
            <w:tcBorders>
              <w:top w:val="single" w:sz="6" w:space="0" w:color="auto"/>
              <w:left w:val="single" w:sz="6" w:space="0" w:color="auto"/>
              <w:bottom w:val="single" w:sz="6" w:space="0" w:color="auto"/>
              <w:right w:val="nil"/>
            </w:tcBorders>
          </w:tcPr>
          <w:p w14:paraId="0D823CC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2.52</w:t>
            </w:r>
          </w:p>
        </w:tc>
        <w:tc>
          <w:tcPr>
            <w:tcW w:w="1780" w:type="dxa"/>
            <w:tcBorders>
              <w:top w:val="single" w:sz="6" w:space="0" w:color="auto"/>
              <w:left w:val="single" w:sz="6" w:space="0" w:color="auto"/>
              <w:bottom w:val="single" w:sz="6" w:space="0" w:color="auto"/>
              <w:right w:val="single" w:sz="12" w:space="0" w:color="auto"/>
            </w:tcBorders>
          </w:tcPr>
          <w:p w14:paraId="58622EC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178</w:t>
            </w:r>
          </w:p>
        </w:tc>
      </w:tr>
      <w:tr w:rsidR="005606E6" w:rsidRPr="00ED1025" w14:paraId="1FDBA0F4"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01ED069D"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Camion Diesel 16 - 32 t</w:t>
            </w:r>
          </w:p>
        </w:tc>
        <w:tc>
          <w:tcPr>
            <w:tcW w:w="1601" w:type="dxa"/>
            <w:tcBorders>
              <w:top w:val="single" w:sz="6" w:space="0" w:color="auto"/>
              <w:left w:val="single" w:sz="6" w:space="0" w:color="auto"/>
              <w:bottom w:val="single" w:sz="6" w:space="0" w:color="auto"/>
              <w:right w:val="single" w:sz="6" w:space="0" w:color="auto"/>
            </w:tcBorders>
          </w:tcPr>
          <w:p w14:paraId="7D236DC1"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8.9</w:t>
            </w:r>
          </w:p>
        </w:tc>
        <w:tc>
          <w:tcPr>
            <w:tcW w:w="1660" w:type="dxa"/>
            <w:tcBorders>
              <w:top w:val="single" w:sz="6" w:space="0" w:color="auto"/>
              <w:left w:val="single" w:sz="6" w:space="0" w:color="auto"/>
              <w:bottom w:val="single" w:sz="6" w:space="0" w:color="auto"/>
              <w:right w:val="single" w:sz="6" w:space="0" w:color="auto"/>
            </w:tcBorders>
          </w:tcPr>
          <w:p w14:paraId="5336723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630</w:t>
            </w:r>
          </w:p>
        </w:tc>
        <w:tc>
          <w:tcPr>
            <w:tcW w:w="1661" w:type="dxa"/>
            <w:tcBorders>
              <w:top w:val="single" w:sz="6" w:space="0" w:color="auto"/>
              <w:left w:val="single" w:sz="6" w:space="0" w:color="auto"/>
              <w:bottom w:val="single" w:sz="6" w:space="0" w:color="auto"/>
              <w:right w:val="nil"/>
            </w:tcBorders>
          </w:tcPr>
          <w:p w14:paraId="6AC85E2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1.5</w:t>
            </w:r>
          </w:p>
        </w:tc>
        <w:tc>
          <w:tcPr>
            <w:tcW w:w="1780" w:type="dxa"/>
            <w:tcBorders>
              <w:top w:val="single" w:sz="6" w:space="0" w:color="auto"/>
              <w:left w:val="single" w:sz="6" w:space="0" w:color="auto"/>
              <w:bottom w:val="single" w:sz="6" w:space="0" w:color="auto"/>
              <w:right w:val="single" w:sz="12" w:space="0" w:color="auto"/>
            </w:tcBorders>
          </w:tcPr>
          <w:p w14:paraId="23D0E48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106</w:t>
            </w:r>
          </w:p>
        </w:tc>
      </w:tr>
      <w:tr w:rsidR="005606E6" w:rsidRPr="00ED1025" w14:paraId="7D20B1FB"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47BA73ED"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Camion Diesel &gt; 32 t</w:t>
            </w:r>
          </w:p>
        </w:tc>
        <w:tc>
          <w:tcPr>
            <w:tcW w:w="1601" w:type="dxa"/>
            <w:tcBorders>
              <w:top w:val="single" w:sz="6" w:space="0" w:color="auto"/>
              <w:left w:val="single" w:sz="6" w:space="0" w:color="auto"/>
              <w:bottom w:val="single" w:sz="6" w:space="0" w:color="auto"/>
              <w:right w:val="single" w:sz="6" w:space="0" w:color="auto"/>
            </w:tcBorders>
          </w:tcPr>
          <w:p w14:paraId="56FE2948"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11.14</w:t>
            </w:r>
          </w:p>
        </w:tc>
        <w:tc>
          <w:tcPr>
            <w:tcW w:w="1660" w:type="dxa"/>
            <w:tcBorders>
              <w:top w:val="single" w:sz="6" w:space="0" w:color="auto"/>
              <w:left w:val="single" w:sz="6" w:space="0" w:color="auto"/>
              <w:bottom w:val="single" w:sz="6" w:space="0" w:color="auto"/>
              <w:right w:val="single" w:sz="6" w:space="0" w:color="auto"/>
            </w:tcBorders>
          </w:tcPr>
          <w:p w14:paraId="6F82955B"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789</w:t>
            </w:r>
          </w:p>
        </w:tc>
        <w:tc>
          <w:tcPr>
            <w:tcW w:w="1661" w:type="dxa"/>
            <w:tcBorders>
              <w:top w:val="single" w:sz="6" w:space="0" w:color="auto"/>
              <w:left w:val="single" w:sz="6" w:space="0" w:color="auto"/>
              <w:bottom w:val="single" w:sz="6" w:space="0" w:color="auto"/>
              <w:right w:val="nil"/>
            </w:tcBorders>
          </w:tcPr>
          <w:p w14:paraId="7FA8BAF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0.74</w:t>
            </w:r>
          </w:p>
        </w:tc>
        <w:tc>
          <w:tcPr>
            <w:tcW w:w="1780" w:type="dxa"/>
            <w:tcBorders>
              <w:top w:val="single" w:sz="6" w:space="0" w:color="auto"/>
              <w:left w:val="single" w:sz="6" w:space="0" w:color="auto"/>
              <w:bottom w:val="single" w:sz="6" w:space="0" w:color="auto"/>
              <w:right w:val="single" w:sz="12" w:space="0" w:color="auto"/>
            </w:tcBorders>
          </w:tcPr>
          <w:p w14:paraId="0719A020"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52</w:t>
            </w:r>
          </w:p>
        </w:tc>
      </w:tr>
      <w:tr w:rsidR="005606E6" w:rsidRPr="00ED1025" w14:paraId="58055B3A" w14:textId="77777777" w:rsidTr="005606E6">
        <w:trPr>
          <w:trHeight w:val="255"/>
        </w:trPr>
        <w:tc>
          <w:tcPr>
            <w:tcW w:w="4029" w:type="dxa"/>
            <w:tcBorders>
              <w:top w:val="single" w:sz="6" w:space="0" w:color="auto"/>
              <w:left w:val="single" w:sz="12" w:space="0" w:color="auto"/>
              <w:bottom w:val="single" w:sz="12" w:space="0" w:color="auto"/>
              <w:right w:val="single" w:sz="6" w:space="0" w:color="auto"/>
            </w:tcBorders>
          </w:tcPr>
          <w:p w14:paraId="6A58D986"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Medie Camion Diesel</w:t>
            </w:r>
          </w:p>
        </w:tc>
        <w:tc>
          <w:tcPr>
            <w:tcW w:w="1601" w:type="dxa"/>
            <w:tcBorders>
              <w:top w:val="single" w:sz="6" w:space="0" w:color="auto"/>
              <w:left w:val="single" w:sz="6" w:space="0" w:color="auto"/>
              <w:bottom w:val="single" w:sz="12" w:space="0" w:color="auto"/>
              <w:right w:val="single" w:sz="6" w:space="0" w:color="auto"/>
            </w:tcBorders>
          </w:tcPr>
          <w:p w14:paraId="6D9DE6E2"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8.53</w:t>
            </w:r>
          </w:p>
        </w:tc>
        <w:tc>
          <w:tcPr>
            <w:tcW w:w="1660" w:type="dxa"/>
            <w:tcBorders>
              <w:top w:val="single" w:sz="6" w:space="0" w:color="auto"/>
              <w:left w:val="single" w:sz="6" w:space="0" w:color="auto"/>
              <w:bottom w:val="single" w:sz="12" w:space="0" w:color="auto"/>
              <w:right w:val="single" w:sz="6" w:space="0" w:color="auto"/>
            </w:tcBorders>
          </w:tcPr>
          <w:p w14:paraId="5DAF59F2"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604</w:t>
            </w:r>
          </w:p>
        </w:tc>
        <w:tc>
          <w:tcPr>
            <w:tcW w:w="1661" w:type="dxa"/>
            <w:tcBorders>
              <w:top w:val="single" w:sz="6" w:space="0" w:color="auto"/>
              <w:left w:val="single" w:sz="6" w:space="0" w:color="auto"/>
              <w:bottom w:val="single" w:sz="12" w:space="0" w:color="auto"/>
              <w:right w:val="nil"/>
            </w:tcBorders>
          </w:tcPr>
          <w:p w14:paraId="2B1A7DD8"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1.09</w:t>
            </w:r>
          </w:p>
        </w:tc>
        <w:tc>
          <w:tcPr>
            <w:tcW w:w="1780" w:type="dxa"/>
            <w:tcBorders>
              <w:top w:val="single" w:sz="6" w:space="0" w:color="auto"/>
              <w:left w:val="single" w:sz="6" w:space="0" w:color="auto"/>
              <w:bottom w:val="single" w:sz="12" w:space="0" w:color="auto"/>
              <w:right w:val="single" w:sz="12" w:space="0" w:color="auto"/>
            </w:tcBorders>
          </w:tcPr>
          <w:p w14:paraId="325A94A5"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77</w:t>
            </w:r>
          </w:p>
        </w:tc>
      </w:tr>
      <w:tr w:rsidR="005606E6" w:rsidRPr="00ED1025" w14:paraId="344DA1E2" w14:textId="77777777" w:rsidTr="005606E6">
        <w:trPr>
          <w:trHeight w:val="244"/>
        </w:trPr>
        <w:tc>
          <w:tcPr>
            <w:tcW w:w="4029" w:type="dxa"/>
            <w:tcBorders>
              <w:top w:val="single" w:sz="12" w:space="0" w:color="auto"/>
              <w:left w:val="single" w:sz="12" w:space="0" w:color="auto"/>
              <w:bottom w:val="single" w:sz="6" w:space="0" w:color="auto"/>
              <w:right w:val="single" w:sz="6" w:space="0" w:color="auto"/>
            </w:tcBorders>
          </w:tcPr>
          <w:p w14:paraId="60899F61"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Locomotiva Diesel</w:t>
            </w:r>
          </w:p>
        </w:tc>
        <w:tc>
          <w:tcPr>
            <w:tcW w:w="1601" w:type="dxa"/>
            <w:tcBorders>
              <w:top w:val="single" w:sz="12" w:space="0" w:color="auto"/>
              <w:left w:val="single" w:sz="6" w:space="0" w:color="auto"/>
              <w:bottom w:val="single" w:sz="6" w:space="0" w:color="auto"/>
              <w:right w:val="single" w:sz="6" w:space="0" w:color="auto"/>
            </w:tcBorders>
          </w:tcPr>
          <w:p w14:paraId="1AB427E1"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161.5</w:t>
            </w:r>
          </w:p>
        </w:tc>
        <w:tc>
          <w:tcPr>
            <w:tcW w:w="1660" w:type="dxa"/>
            <w:tcBorders>
              <w:top w:val="single" w:sz="12" w:space="0" w:color="auto"/>
              <w:left w:val="single" w:sz="6" w:space="0" w:color="auto"/>
              <w:bottom w:val="single" w:sz="6" w:space="0" w:color="auto"/>
              <w:right w:val="single" w:sz="6" w:space="0" w:color="auto"/>
            </w:tcBorders>
          </w:tcPr>
          <w:p w14:paraId="0C6A9BD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11434</w:t>
            </w:r>
          </w:p>
        </w:tc>
        <w:tc>
          <w:tcPr>
            <w:tcW w:w="1661" w:type="dxa"/>
            <w:tcBorders>
              <w:top w:val="single" w:sz="12" w:space="0" w:color="auto"/>
              <w:left w:val="single" w:sz="6" w:space="0" w:color="auto"/>
              <w:bottom w:val="single" w:sz="6" w:space="0" w:color="auto"/>
              <w:right w:val="nil"/>
            </w:tcBorders>
          </w:tcPr>
          <w:p w14:paraId="70E923F3"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0.313</w:t>
            </w:r>
          </w:p>
        </w:tc>
        <w:tc>
          <w:tcPr>
            <w:tcW w:w="1780" w:type="dxa"/>
            <w:tcBorders>
              <w:top w:val="single" w:sz="12" w:space="0" w:color="auto"/>
              <w:left w:val="single" w:sz="6" w:space="0" w:color="auto"/>
              <w:bottom w:val="single" w:sz="6" w:space="0" w:color="auto"/>
              <w:right w:val="single" w:sz="12" w:space="0" w:color="auto"/>
            </w:tcBorders>
          </w:tcPr>
          <w:p w14:paraId="3B151EDC"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22.2</w:t>
            </w:r>
          </w:p>
        </w:tc>
      </w:tr>
      <w:tr w:rsidR="005606E6" w:rsidRPr="00ED1025" w14:paraId="655C3D2F" w14:textId="77777777" w:rsidTr="005606E6">
        <w:trPr>
          <w:trHeight w:val="255"/>
        </w:trPr>
        <w:tc>
          <w:tcPr>
            <w:tcW w:w="4029" w:type="dxa"/>
            <w:tcBorders>
              <w:top w:val="single" w:sz="6" w:space="0" w:color="auto"/>
              <w:left w:val="single" w:sz="12" w:space="0" w:color="auto"/>
              <w:bottom w:val="single" w:sz="12" w:space="0" w:color="auto"/>
              <w:right w:val="single" w:sz="6" w:space="0" w:color="auto"/>
            </w:tcBorders>
          </w:tcPr>
          <w:p w14:paraId="21482B47"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Locomotiva Electric</w:t>
            </w:r>
          </w:p>
        </w:tc>
        <w:tc>
          <w:tcPr>
            <w:tcW w:w="1601" w:type="dxa"/>
            <w:tcBorders>
              <w:top w:val="single" w:sz="6" w:space="0" w:color="auto"/>
              <w:left w:val="single" w:sz="6" w:space="0" w:color="auto"/>
              <w:bottom w:val="single" w:sz="12" w:space="0" w:color="auto"/>
              <w:right w:val="single" w:sz="6" w:space="0" w:color="auto"/>
            </w:tcBorders>
          </w:tcPr>
          <w:p w14:paraId="68B103E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59.8</w:t>
            </w:r>
          </w:p>
        </w:tc>
        <w:tc>
          <w:tcPr>
            <w:tcW w:w="1660" w:type="dxa"/>
            <w:tcBorders>
              <w:top w:val="single" w:sz="6" w:space="0" w:color="auto"/>
              <w:left w:val="single" w:sz="6" w:space="0" w:color="auto"/>
              <w:bottom w:val="single" w:sz="12" w:space="0" w:color="auto"/>
              <w:right w:val="single" w:sz="6" w:space="0" w:color="auto"/>
            </w:tcBorders>
          </w:tcPr>
          <w:p w14:paraId="69EFAF33"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w:t>
            </w:r>
          </w:p>
        </w:tc>
        <w:tc>
          <w:tcPr>
            <w:tcW w:w="1661" w:type="dxa"/>
            <w:tcBorders>
              <w:top w:val="single" w:sz="6" w:space="0" w:color="auto"/>
              <w:left w:val="single" w:sz="6" w:space="0" w:color="auto"/>
              <w:bottom w:val="single" w:sz="12" w:space="0" w:color="auto"/>
              <w:right w:val="nil"/>
            </w:tcBorders>
          </w:tcPr>
          <w:p w14:paraId="2B21222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0.116</w:t>
            </w:r>
          </w:p>
        </w:tc>
        <w:tc>
          <w:tcPr>
            <w:tcW w:w="1780" w:type="dxa"/>
            <w:tcBorders>
              <w:top w:val="single" w:sz="6" w:space="0" w:color="auto"/>
              <w:left w:val="single" w:sz="6" w:space="0" w:color="auto"/>
              <w:bottom w:val="single" w:sz="12" w:space="0" w:color="auto"/>
              <w:right w:val="single" w:sz="12" w:space="0" w:color="auto"/>
            </w:tcBorders>
          </w:tcPr>
          <w:p w14:paraId="3127F7DA"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w:t>
            </w:r>
          </w:p>
        </w:tc>
      </w:tr>
      <w:tr w:rsidR="005606E6" w:rsidRPr="00ED1025" w14:paraId="31751342" w14:textId="77777777" w:rsidTr="005606E6">
        <w:trPr>
          <w:trHeight w:val="244"/>
        </w:trPr>
        <w:tc>
          <w:tcPr>
            <w:tcW w:w="4029" w:type="dxa"/>
            <w:tcBorders>
              <w:top w:val="single" w:sz="12" w:space="0" w:color="auto"/>
              <w:left w:val="single" w:sz="12" w:space="0" w:color="auto"/>
              <w:bottom w:val="single" w:sz="6" w:space="0" w:color="auto"/>
              <w:right w:val="single" w:sz="6" w:space="0" w:color="auto"/>
            </w:tcBorders>
          </w:tcPr>
          <w:p w14:paraId="1EA42FDC"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 xml:space="preserve">Nava TCNI </w:t>
            </w:r>
            <w:proofErr w:type="spellStart"/>
            <w:r w:rsidRPr="00ED1025">
              <w:rPr>
                <w:rFonts w:cs="Calibri"/>
                <w:color w:val="000000"/>
                <w:lang w:val="ro-RO" w:eastAsia="ro-RO"/>
              </w:rPr>
              <w:t>comb</w:t>
            </w:r>
            <w:proofErr w:type="spellEnd"/>
            <w:r w:rsidRPr="00ED1025">
              <w:rPr>
                <w:rFonts w:cs="Calibri"/>
                <w:color w:val="000000"/>
                <w:lang w:val="ro-RO" w:eastAsia="ro-RO"/>
              </w:rPr>
              <w:t>. fosil (1537 t)</w:t>
            </w:r>
          </w:p>
        </w:tc>
        <w:tc>
          <w:tcPr>
            <w:tcW w:w="1601" w:type="dxa"/>
            <w:tcBorders>
              <w:top w:val="single" w:sz="12" w:space="0" w:color="auto"/>
              <w:left w:val="single" w:sz="6" w:space="0" w:color="auto"/>
              <w:bottom w:val="single" w:sz="6" w:space="0" w:color="auto"/>
              <w:right w:val="single" w:sz="6" w:space="0" w:color="auto"/>
            </w:tcBorders>
          </w:tcPr>
          <w:p w14:paraId="1BCCC119"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323</w:t>
            </w:r>
          </w:p>
        </w:tc>
        <w:tc>
          <w:tcPr>
            <w:tcW w:w="1660" w:type="dxa"/>
            <w:tcBorders>
              <w:top w:val="single" w:sz="12" w:space="0" w:color="auto"/>
              <w:left w:val="single" w:sz="6" w:space="0" w:color="auto"/>
              <w:bottom w:val="single" w:sz="6" w:space="0" w:color="auto"/>
              <w:right w:val="single" w:sz="6" w:space="0" w:color="auto"/>
            </w:tcBorders>
          </w:tcPr>
          <w:p w14:paraId="19189C13"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22865</w:t>
            </w:r>
          </w:p>
        </w:tc>
        <w:tc>
          <w:tcPr>
            <w:tcW w:w="1661" w:type="dxa"/>
            <w:tcBorders>
              <w:top w:val="single" w:sz="12" w:space="0" w:color="auto"/>
              <w:left w:val="single" w:sz="6" w:space="0" w:color="auto"/>
              <w:bottom w:val="single" w:sz="6" w:space="0" w:color="auto"/>
              <w:right w:val="single" w:sz="6" w:space="0" w:color="auto"/>
            </w:tcBorders>
          </w:tcPr>
          <w:p w14:paraId="60283D0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0.4</w:t>
            </w:r>
          </w:p>
        </w:tc>
        <w:tc>
          <w:tcPr>
            <w:tcW w:w="1780" w:type="dxa"/>
            <w:tcBorders>
              <w:top w:val="single" w:sz="12" w:space="0" w:color="auto"/>
              <w:left w:val="single" w:sz="6" w:space="0" w:color="auto"/>
              <w:bottom w:val="single" w:sz="6" w:space="0" w:color="auto"/>
              <w:right w:val="single" w:sz="12" w:space="0" w:color="auto"/>
            </w:tcBorders>
          </w:tcPr>
          <w:p w14:paraId="02B9EAE5"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28.3</w:t>
            </w:r>
          </w:p>
        </w:tc>
      </w:tr>
      <w:tr w:rsidR="005606E6" w:rsidRPr="00ED1025" w14:paraId="0908BEEC"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73708A11"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 xml:space="preserve">Nava TCNI </w:t>
            </w:r>
            <w:proofErr w:type="spellStart"/>
            <w:r w:rsidRPr="00ED1025">
              <w:rPr>
                <w:rFonts w:cs="Calibri"/>
                <w:color w:val="000000"/>
                <w:lang w:val="ro-RO" w:eastAsia="ro-RO"/>
              </w:rPr>
              <w:t>comb</w:t>
            </w:r>
            <w:proofErr w:type="spellEnd"/>
            <w:r w:rsidRPr="00ED1025">
              <w:rPr>
                <w:rFonts w:cs="Calibri"/>
                <w:color w:val="000000"/>
                <w:lang w:val="ro-RO" w:eastAsia="ro-RO"/>
              </w:rPr>
              <w:t>. fosil (3013 t)</w:t>
            </w:r>
          </w:p>
        </w:tc>
        <w:tc>
          <w:tcPr>
            <w:tcW w:w="1601" w:type="dxa"/>
            <w:tcBorders>
              <w:top w:val="single" w:sz="6" w:space="0" w:color="auto"/>
              <w:left w:val="single" w:sz="6" w:space="0" w:color="auto"/>
              <w:bottom w:val="single" w:sz="6" w:space="0" w:color="auto"/>
              <w:right w:val="single" w:sz="6" w:space="0" w:color="auto"/>
            </w:tcBorders>
          </w:tcPr>
          <w:p w14:paraId="3F6D9CC5"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347</w:t>
            </w:r>
          </w:p>
        </w:tc>
        <w:tc>
          <w:tcPr>
            <w:tcW w:w="1660" w:type="dxa"/>
            <w:tcBorders>
              <w:top w:val="single" w:sz="6" w:space="0" w:color="auto"/>
              <w:left w:val="single" w:sz="6" w:space="0" w:color="auto"/>
              <w:bottom w:val="single" w:sz="6" w:space="0" w:color="auto"/>
              <w:right w:val="single" w:sz="6" w:space="0" w:color="auto"/>
            </w:tcBorders>
          </w:tcPr>
          <w:p w14:paraId="6B240F4D"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24564</w:t>
            </w:r>
          </w:p>
        </w:tc>
        <w:tc>
          <w:tcPr>
            <w:tcW w:w="1661" w:type="dxa"/>
            <w:tcBorders>
              <w:top w:val="single" w:sz="6" w:space="0" w:color="auto"/>
              <w:left w:val="single" w:sz="6" w:space="0" w:color="auto"/>
              <w:bottom w:val="single" w:sz="6" w:space="0" w:color="auto"/>
              <w:right w:val="single" w:sz="6" w:space="0" w:color="auto"/>
            </w:tcBorders>
          </w:tcPr>
          <w:p w14:paraId="616BDFBA"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0.21</w:t>
            </w:r>
          </w:p>
        </w:tc>
        <w:tc>
          <w:tcPr>
            <w:tcW w:w="1780" w:type="dxa"/>
            <w:tcBorders>
              <w:top w:val="single" w:sz="6" w:space="0" w:color="auto"/>
              <w:left w:val="single" w:sz="6" w:space="0" w:color="auto"/>
              <w:bottom w:val="single" w:sz="6" w:space="0" w:color="auto"/>
              <w:right w:val="single" w:sz="12" w:space="0" w:color="auto"/>
            </w:tcBorders>
          </w:tcPr>
          <w:p w14:paraId="0272CC00"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14.8</w:t>
            </w:r>
          </w:p>
        </w:tc>
      </w:tr>
      <w:tr w:rsidR="005606E6" w:rsidRPr="00ED1025" w14:paraId="1155735C"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2F910994"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 xml:space="preserve">Convoi 4 </w:t>
            </w:r>
            <w:proofErr w:type="spellStart"/>
            <w:r w:rsidRPr="00ED1025">
              <w:rPr>
                <w:rFonts w:cs="Calibri"/>
                <w:color w:val="000000"/>
                <w:lang w:val="ro-RO" w:eastAsia="ro-RO"/>
              </w:rPr>
              <w:t>barje</w:t>
            </w:r>
            <w:proofErr w:type="spellEnd"/>
            <w:r w:rsidRPr="00ED1025">
              <w:rPr>
                <w:rFonts w:cs="Calibri"/>
                <w:color w:val="000000"/>
                <w:lang w:val="ro-RO" w:eastAsia="ro-RO"/>
              </w:rPr>
              <w:t xml:space="preserve"> </w:t>
            </w:r>
            <w:proofErr w:type="spellStart"/>
            <w:r w:rsidRPr="00ED1025">
              <w:rPr>
                <w:rFonts w:cs="Calibri"/>
                <w:color w:val="000000"/>
                <w:lang w:val="ro-RO" w:eastAsia="ro-RO"/>
              </w:rPr>
              <w:t>comb</w:t>
            </w:r>
            <w:proofErr w:type="spellEnd"/>
            <w:r w:rsidRPr="00ED1025">
              <w:rPr>
                <w:rFonts w:cs="Calibri"/>
                <w:color w:val="000000"/>
                <w:lang w:val="ro-RO" w:eastAsia="ro-RO"/>
              </w:rPr>
              <w:t>. fosil (11181 t)</w:t>
            </w:r>
          </w:p>
        </w:tc>
        <w:tc>
          <w:tcPr>
            <w:tcW w:w="1601" w:type="dxa"/>
            <w:tcBorders>
              <w:top w:val="single" w:sz="6" w:space="0" w:color="auto"/>
              <w:left w:val="single" w:sz="6" w:space="0" w:color="auto"/>
              <w:bottom w:val="single" w:sz="6" w:space="0" w:color="auto"/>
              <w:right w:val="single" w:sz="6" w:space="0" w:color="auto"/>
            </w:tcBorders>
          </w:tcPr>
          <w:p w14:paraId="6A2932D1"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1203</w:t>
            </w:r>
          </w:p>
        </w:tc>
        <w:tc>
          <w:tcPr>
            <w:tcW w:w="1660" w:type="dxa"/>
            <w:tcBorders>
              <w:top w:val="single" w:sz="6" w:space="0" w:color="auto"/>
              <w:left w:val="single" w:sz="6" w:space="0" w:color="auto"/>
              <w:bottom w:val="single" w:sz="6" w:space="0" w:color="auto"/>
              <w:right w:val="single" w:sz="6" w:space="0" w:color="auto"/>
            </w:tcBorders>
          </w:tcPr>
          <w:p w14:paraId="498F787E"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85161</w:t>
            </w:r>
          </w:p>
        </w:tc>
        <w:tc>
          <w:tcPr>
            <w:tcW w:w="1661" w:type="dxa"/>
            <w:tcBorders>
              <w:top w:val="single" w:sz="6" w:space="0" w:color="auto"/>
              <w:left w:val="single" w:sz="6" w:space="0" w:color="auto"/>
              <w:bottom w:val="single" w:sz="6" w:space="0" w:color="auto"/>
              <w:right w:val="single" w:sz="6" w:space="0" w:color="auto"/>
            </w:tcBorders>
          </w:tcPr>
          <w:p w14:paraId="200E65F9"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0.19</w:t>
            </w:r>
          </w:p>
        </w:tc>
        <w:tc>
          <w:tcPr>
            <w:tcW w:w="1780" w:type="dxa"/>
            <w:tcBorders>
              <w:top w:val="single" w:sz="6" w:space="0" w:color="auto"/>
              <w:left w:val="single" w:sz="6" w:space="0" w:color="auto"/>
              <w:bottom w:val="single" w:sz="6" w:space="0" w:color="auto"/>
              <w:right w:val="single" w:sz="12" w:space="0" w:color="auto"/>
            </w:tcBorders>
          </w:tcPr>
          <w:p w14:paraId="636AC005"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13.8</w:t>
            </w:r>
          </w:p>
        </w:tc>
      </w:tr>
      <w:tr w:rsidR="005606E6" w:rsidRPr="00ED1025" w14:paraId="1316BEA2" w14:textId="77777777" w:rsidTr="005606E6">
        <w:trPr>
          <w:trHeight w:val="244"/>
        </w:trPr>
        <w:tc>
          <w:tcPr>
            <w:tcW w:w="4029" w:type="dxa"/>
            <w:tcBorders>
              <w:top w:val="single" w:sz="6" w:space="0" w:color="auto"/>
              <w:left w:val="single" w:sz="12" w:space="0" w:color="auto"/>
              <w:bottom w:val="single" w:sz="6" w:space="0" w:color="auto"/>
              <w:right w:val="single" w:sz="6" w:space="0" w:color="auto"/>
            </w:tcBorders>
          </w:tcPr>
          <w:p w14:paraId="16374759"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 xml:space="preserve">Convoi container </w:t>
            </w:r>
            <w:proofErr w:type="spellStart"/>
            <w:r w:rsidRPr="00ED1025">
              <w:rPr>
                <w:rFonts w:cs="Calibri"/>
                <w:color w:val="000000"/>
                <w:lang w:val="ro-RO" w:eastAsia="ro-RO"/>
              </w:rPr>
              <w:t>comb</w:t>
            </w:r>
            <w:proofErr w:type="spellEnd"/>
            <w:r w:rsidRPr="00ED1025">
              <w:rPr>
                <w:rFonts w:cs="Calibri"/>
                <w:color w:val="000000"/>
                <w:lang w:val="ro-RO" w:eastAsia="ro-RO"/>
              </w:rPr>
              <w:t>. fosil (160 TEU)</w:t>
            </w:r>
          </w:p>
        </w:tc>
        <w:tc>
          <w:tcPr>
            <w:tcW w:w="1601" w:type="dxa"/>
            <w:tcBorders>
              <w:top w:val="single" w:sz="6" w:space="0" w:color="auto"/>
              <w:left w:val="single" w:sz="6" w:space="0" w:color="auto"/>
              <w:bottom w:val="single" w:sz="6" w:space="0" w:color="auto"/>
              <w:right w:val="single" w:sz="6" w:space="0" w:color="auto"/>
            </w:tcBorders>
          </w:tcPr>
          <w:p w14:paraId="61B8DA47"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411</w:t>
            </w:r>
          </w:p>
        </w:tc>
        <w:tc>
          <w:tcPr>
            <w:tcW w:w="1660" w:type="dxa"/>
            <w:tcBorders>
              <w:top w:val="single" w:sz="6" w:space="0" w:color="auto"/>
              <w:left w:val="single" w:sz="6" w:space="0" w:color="auto"/>
              <w:bottom w:val="single" w:sz="6" w:space="0" w:color="auto"/>
              <w:right w:val="single" w:sz="6" w:space="0" w:color="auto"/>
            </w:tcBorders>
          </w:tcPr>
          <w:p w14:paraId="0B9AB16F"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29095</w:t>
            </w:r>
          </w:p>
        </w:tc>
        <w:tc>
          <w:tcPr>
            <w:tcW w:w="1661" w:type="dxa"/>
            <w:tcBorders>
              <w:top w:val="single" w:sz="6" w:space="0" w:color="auto"/>
              <w:left w:val="single" w:sz="6" w:space="0" w:color="auto"/>
              <w:bottom w:val="single" w:sz="6" w:space="0" w:color="auto"/>
              <w:right w:val="single" w:sz="6" w:space="0" w:color="auto"/>
            </w:tcBorders>
          </w:tcPr>
          <w:p w14:paraId="4895A86B"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0.45</w:t>
            </w:r>
          </w:p>
        </w:tc>
        <w:tc>
          <w:tcPr>
            <w:tcW w:w="1780" w:type="dxa"/>
            <w:tcBorders>
              <w:top w:val="single" w:sz="6" w:space="0" w:color="auto"/>
              <w:left w:val="single" w:sz="6" w:space="0" w:color="auto"/>
              <w:bottom w:val="single" w:sz="6" w:space="0" w:color="auto"/>
              <w:right w:val="single" w:sz="12" w:space="0" w:color="auto"/>
            </w:tcBorders>
          </w:tcPr>
          <w:p w14:paraId="306AFA72"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31.9</w:t>
            </w:r>
          </w:p>
        </w:tc>
      </w:tr>
      <w:tr w:rsidR="005606E6" w:rsidRPr="00ED1025" w14:paraId="6727595B" w14:textId="77777777" w:rsidTr="005606E6">
        <w:trPr>
          <w:trHeight w:val="255"/>
        </w:trPr>
        <w:tc>
          <w:tcPr>
            <w:tcW w:w="4029" w:type="dxa"/>
            <w:tcBorders>
              <w:top w:val="single" w:sz="6" w:space="0" w:color="auto"/>
              <w:left w:val="single" w:sz="12" w:space="0" w:color="auto"/>
              <w:bottom w:val="single" w:sz="12" w:space="0" w:color="auto"/>
              <w:right w:val="single" w:sz="6" w:space="0" w:color="auto"/>
            </w:tcBorders>
          </w:tcPr>
          <w:p w14:paraId="6A9C10CF"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 xml:space="preserve">Convoi container </w:t>
            </w:r>
            <w:proofErr w:type="spellStart"/>
            <w:r w:rsidRPr="00ED1025">
              <w:rPr>
                <w:rFonts w:cs="Calibri"/>
                <w:color w:val="000000"/>
                <w:lang w:val="ro-RO" w:eastAsia="ro-RO"/>
              </w:rPr>
              <w:t>comb</w:t>
            </w:r>
            <w:proofErr w:type="spellEnd"/>
            <w:r w:rsidRPr="00ED1025">
              <w:rPr>
                <w:rFonts w:cs="Calibri"/>
                <w:color w:val="000000"/>
                <w:lang w:val="ro-RO" w:eastAsia="ro-RO"/>
              </w:rPr>
              <w:t>. fosil (208 TEU)</w:t>
            </w:r>
          </w:p>
        </w:tc>
        <w:tc>
          <w:tcPr>
            <w:tcW w:w="1601" w:type="dxa"/>
            <w:tcBorders>
              <w:top w:val="single" w:sz="6" w:space="0" w:color="auto"/>
              <w:left w:val="single" w:sz="6" w:space="0" w:color="auto"/>
              <w:bottom w:val="single" w:sz="12" w:space="0" w:color="auto"/>
              <w:right w:val="single" w:sz="6" w:space="0" w:color="auto"/>
            </w:tcBorders>
          </w:tcPr>
          <w:p w14:paraId="003DCBBD"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307</w:t>
            </w:r>
          </w:p>
        </w:tc>
        <w:tc>
          <w:tcPr>
            <w:tcW w:w="1660" w:type="dxa"/>
            <w:tcBorders>
              <w:top w:val="single" w:sz="6" w:space="0" w:color="auto"/>
              <w:left w:val="single" w:sz="6" w:space="0" w:color="auto"/>
              <w:bottom w:val="single" w:sz="12" w:space="0" w:color="auto"/>
              <w:right w:val="single" w:sz="6" w:space="0" w:color="auto"/>
            </w:tcBorders>
          </w:tcPr>
          <w:p w14:paraId="5DBDD2C5"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21733</w:t>
            </w:r>
          </w:p>
        </w:tc>
        <w:tc>
          <w:tcPr>
            <w:tcW w:w="1661" w:type="dxa"/>
            <w:tcBorders>
              <w:top w:val="single" w:sz="6" w:space="0" w:color="auto"/>
              <w:left w:val="single" w:sz="6" w:space="0" w:color="auto"/>
              <w:bottom w:val="single" w:sz="12" w:space="0" w:color="auto"/>
              <w:right w:val="single" w:sz="6" w:space="0" w:color="auto"/>
            </w:tcBorders>
          </w:tcPr>
          <w:p w14:paraId="564BC9DA"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0.26</w:t>
            </w:r>
          </w:p>
        </w:tc>
        <w:tc>
          <w:tcPr>
            <w:tcW w:w="1780" w:type="dxa"/>
            <w:tcBorders>
              <w:top w:val="single" w:sz="6" w:space="0" w:color="auto"/>
              <w:left w:val="single" w:sz="6" w:space="0" w:color="auto"/>
              <w:bottom w:val="single" w:sz="12" w:space="0" w:color="auto"/>
              <w:right w:val="single" w:sz="12" w:space="0" w:color="auto"/>
            </w:tcBorders>
          </w:tcPr>
          <w:p w14:paraId="348B82D8"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r w:rsidRPr="00ED1025">
              <w:rPr>
                <w:rFonts w:cs="Calibri"/>
                <w:color w:val="000000"/>
                <w:lang w:val="ro-RO" w:eastAsia="ro-RO"/>
              </w:rPr>
              <w:t>18.3</w:t>
            </w:r>
          </w:p>
        </w:tc>
      </w:tr>
      <w:tr w:rsidR="005606E6" w:rsidRPr="00ED1025" w14:paraId="089A6E9B" w14:textId="77777777" w:rsidTr="005606E6">
        <w:trPr>
          <w:trHeight w:val="244"/>
        </w:trPr>
        <w:tc>
          <w:tcPr>
            <w:tcW w:w="4029" w:type="dxa"/>
            <w:tcBorders>
              <w:top w:val="nil"/>
              <w:left w:val="nil"/>
              <w:bottom w:val="nil"/>
              <w:right w:val="nil"/>
            </w:tcBorders>
          </w:tcPr>
          <w:p w14:paraId="6B9BDD6F"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01" w:type="dxa"/>
            <w:tcBorders>
              <w:top w:val="nil"/>
              <w:left w:val="nil"/>
              <w:bottom w:val="nil"/>
              <w:right w:val="nil"/>
            </w:tcBorders>
          </w:tcPr>
          <w:p w14:paraId="558AE24F"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60" w:type="dxa"/>
            <w:tcBorders>
              <w:top w:val="nil"/>
              <w:left w:val="nil"/>
              <w:bottom w:val="nil"/>
              <w:right w:val="nil"/>
            </w:tcBorders>
          </w:tcPr>
          <w:p w14:paraId="4C18DB9F"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61" w:type="dxa"/>
            <w:tcBorders>
              <w:top w:val="nil"/>
              <w:left w:val="nil"/>
              <w:bottom w:val="nil"/>
              <w:right w:val="nil"/>
            </w:tcBorders>
          </w:tcPr>
          <w:p w14:paraId="70AE4451"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780" w:type="dxa"/>
            <w:tcBorders>
              <w:top w:val="nil"/>
              <w:left w:val="nil"/>
              <w:bottom w:val="nil"/>
              <w:right w:val="nil"/>
            </w:tcBorders>
          </w:tcPr>
          <w:p w14:paraId="687FC44B"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r>
      <w:tr w:rsidR="005606E6" w:rsidRPr="00ED1025" w14:paraId="12486325" w14:textId="77777777" w:rsidTr="005606E6">
        <w:trPr>
          <w:trHeight w:val="244"/>
        </w:trPr>
        <w:tc>
          <w:tcPr>
            <w:tcW w:w="8953" w:type="dxa"/>
            <w:gridSpan w:val="4"/>
            <w:tcBorders>
              <w:top w:val="nil"/>
              <w:left w:val="nil"/>
              <w:bottom w:val="nil"/>
              <w:right w:val="nil"/>
            </w:tcBorders>
          </w:tcPr>
          <w:p w14:paraId="2791DF5E"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pt. categoriile de vehicule care nu se regăsesc mai sus se vor folosi următoarele valori:</w:t>
            </w:r>
          </w:p>
        </w:tc>
        <w:tc>
          <w:tcPr>
            <w:tcW w:w="1780" w:type="dxa"/>
            <w:tcBorders>
              <w:top w:val="nil"/>
              <w:left w:val="nil"/>
              <w:bottom w:val="nil"/>
              <w:right w:val="nil"/>
            </w:tcBorders>
          </w:tcPr>
          <w:p w14:paraId="2232CF53"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r>
      <w:tr w:rsidR="005606E6" w:rsidRPr="00ED1025" w14:paraId="6716096E" w14:textId="77777777" w:rsidTr="005606E6">
        <w:trPr>
          <w:trHeight w:val="244"/>
        </w:trPr>
        <w:tc>
          <w:tcPr>
            <w:tcW w:w="5631" w:type="dxa"/>
            <w:gridSpan w:val="2"/>
            <w:tcBorders>
              <w:top w:val="nil"/>
              <w:left w:val="nil"/>
              <w:bottom w:val="nil"/>
              <w:right w:val="nil"/>
            </w:tcBorders>
          </w:tcPr>
          <w:p w14:paraId="7E103A8F" w14:textId="77777777" w:rsidR="005606E6" w:rsidRPr="00ED1025" w:rsidRDefault="005606E6" w:rsidP="005606E6">
            <w:pPr>
              <w:autoSpaceDE w:val="0"/>
              <w:autoSpaceDN w:val="0"/>
              <w:adjustRightInd w:val="0"/>
              <w:spacing w:after="0" w:line="240" w:lineRule="auto"/>
              <w:ind w:left="0"/>
              <w:jc w:val="left"/>
              <w:rPr>
                <w:rFonts w:cs="Calibri"/>
                <w:color w:val="000000"/>
                <w:lang w:val="ro-RO" w:eastAsia="ro-RO"/>
              </w:rPr>
            </w:pPr>
            <w:r w:rsidRPr="00ED1025">
              <w:rPr>
                <w:rFonts w:cs="Calibri"/>
                <w:color w:val="000000"/>
                <w:lang w:val="ro-RO" w:eastAsia="ro-RO"/>
              </w:rPr>
              <w:t>pt. conversie consum energie - 1 litru păcură = 44 MJ</w:t>
            </w:r>
          </w:p>
        </w:tc>
        <w:tc>
          <w:tcPr>
            <w:tcW w:w="1660" w:type="dxa"/>
            <w:tcBorders>
              <w:top w:val="nil"/>
              <w:left w:val="nil"/>
              <w:bottom w:val="nil"/>
              <w:right w:val="nil"/>
            </w:tcBorders>
          </w:tcPr>
          <w:p w14:paraId="4FA3820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61" w:type="dxa"/>
            <w:tcBorders>
              <w:top w:val="nil"/>
              <w:left w:val="nil"/>
              <w:bottom w:val="nil"/>
              <w:right w:val="nil"/>
            </w:tcBorders>
          </w:tcPr>
          <w:p w14:paraId="4EC0069B"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780" w:type="dxa"/>
            <w:tcBorders>
              <w:top w:val="nil"/>
              <w:left w:val="nil"/>
              <w:bottom w:val="nil"/>
              <w:right w:val="nil"/>
            </w:tcBorders>
          </w:tcPr>
          <w:p w14:paraId="37CA4DC3"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r>
      <w:tr w:rsidR="005606E6" w:rsidRPr="00B44A9C" w14:paraId="7371E78C" w14:textId="77777777" w:rsidTr="005606E6">
        <w:trPr>
          <w:trHeight w:val="244"/>
        </w:trPr>
        <w:tc>
          <w:tcPr>
            <w:tcW w:w="4029" w:type="dxa"/>
            <w:tcBorders>
              <w:top w:val="nil"/>
              <w:left w:val="nil"/>
              <w:bottom w:val="nil"/>
              <w:right w:val="nil"/>
            </w:tcBorders>
          </w:tcPr>
          <w:p w14:paraId="5374A7C3" w14:textId="46B7EF69" w:rsidR="005606E6" w:rsidRPr="00ED1025" w:rsidRDefault="005606E6" w:rsidP="00ED1025">
            <w:pPr>
              <w:autoSpaceDE w:val="0"/>
              <w:autoSpaceDN w:val="0"/>
              <w:adjustRightInd w:val="0"/>
              <w:spacing w:after="0" w:line="240" w:lineRule="auto"/>
              <w:ind w:left="0" w:right="-315"/>
              <w:jc w:val="left"/>
              <w:rPr>
                <w:rFonts w:cs="Calibri"/>
                <w:color w:val="000000"/>
                <w:lang w:val="ro-RO" w:eastAsia="ro-RO"/>
              </w:rPr>
            </w:pPr>
            <w:r w:rsidRPr="00ED1025">
              <w:rPr>
                <w:rFonts w:cs="Calibri"/>
                <w:color w:val="000000"/>
                <w:lang w:val="ro-RO" w:eastAsia="ro-RO"/>
              </w:rPr>
              <w:t xml:space="preserve">pt. emisii - 3150 gCO2e / kg </w:t>
            </w:r>
            <w:proofErr w:type="spellStart"/>
            <w:r w:rsidRPr="00ED1025">
              <w:rPr>
                <w:rFonts w:cs="Calibri"/>
                <w:color w:val="000000"/>
                <w:lang w:val="ro-RO" w:eastAsia="ro-RO"/>
              </w:rPr>
              <w:t>comb</w:t>
            </w:r>
            <w:proofErr w:type="spellEnd"/>
            <w:r w:rsidR="00ED1025">
              <w:rPr>
                <w:rFonts w:cs="Calibri"/>
                <w:color w:val="000000"/>
                <w:lang w:val="ro-RO" w:eastAsia="ro-RO"/>
              </w:rPr>
              <w:t xml:space="preserve"> fosil</w:t>
            </w:r>
          </w:p>
        </w:tc>
        <w:tc>
          <w:tcPr>
            <w:tcW w:w="1601" w:type="dxa"/>
            <w:tcBorders>
              <w:top w:val="nil"/>
              <w:left w:val="nil"/>
              <w:bottom w:val="nil"/>
              <w:right w:val="nil"/>
            </w:tcBorders>
          </w:tcPr>
          <w:p w14:paraId="3D54C5C6"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60" w:type="dxa"/>
            <w:tcBorders>
              <w:top w:val="nil"/>
              <w:left w:val="nil"/>
              <w:bottom w:val="nil"/>
              <w:right w:val="nil"/>
            </w:tcBorders>
          </w:tcPr>
          <w:p w14:paraId="7833FFEA"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661" w:type="dxa"/>
            <w:tcBorders>
              <w:top w:val="nil"/>
              <w:left w:val="nil"/>
              <w:bottom w:val="nil"/>
              <w:right w:val="nil"/>
            </w:tcBorders>
          </w:tcPr>
          <w:p w14:paraId="7DED9CAE"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c>
          <w:tcPr>
            <w:tcW w:w="1780" w:type="dxa"/>
            <w:tcBorders>
              <w:top w:val="nil"/>
              <w:left w:val="nil"/>
              <w:bottom w:val="nil"/>
              <w:right w:val="nil"/>
            </w:tcBorders>
          </w:tcPr>
          <w:p w14:paraId="1FA0B5F9" w14:textId="77777777" w:rsidR="005606E6" w:rsidRPr="00ED1025" w:rsidRDefault="005606E6" w:rsidP="005606E6">
            <w:pPr>
              <w:autoSpaceDE w:val="0"/>
              <w:autoSpaceDN w:val="0"/>
              <w:adjustRightInd w:val="0"/>
              <w:spacing w:after="0" w:line="240" w:lineRule="auto"/>
              <w:ind w:left="0"/>
              <w:jc w:val="right"/>
              <w:rPr>
                <w:rFonts w:cs="Calibri"/>
                <w:color w:val="000000"/>
                <w:lang w:val="ro-RO" w:eastAsia="ro-RO"/>
              </w:rPr>
            </w:pPr>
          </w:p>
        </w:tc>
      </w:tr>
    </w:tbl>
    <w:p w14:paraId="5777D20D" w14:textId="77777777" w:rsidR="00ED1025" w:rsidRDefault="00ED1025" w:rsidP="00ED1025">
      <w:pPr>
        <w:ind w:left="0"/>
        <w:rPr>
          <w:lang w:val="it-IT"/>
        </w:rPr>
      </w:pPr>
    </w:p>
    <w:p w14:paraId="720B0DF1" w14:textId="77777777" w:rsidR="00ED1025" w:rsidRDefault="00ED1025" w:rsidP="00ED1025">
      <w:pPr>
        <w:ind w:left="0"/>
        <w:rPr>
          <w:lang w:val="it-IT"/>
        </w:rPr>
      </w:pPr>
    </w:p>
    <w:p w14:paraId="4C619941" w14:textId="051B7425" w:rsidR="000B1866" w:rsidRDefault="00ED1025" w:rsidP="00ED1025">
      <w:pPr>
        <w:ind w:left="0"/>
        <w:rPr>
          <w:color w:val="FF0000"/>
          <w:lang w:val="it-IT"/>
        </w:rPr>
      </w:pPr>
      <w:r w:rsidRPr="00ED1025">
        <w:rPr>
          <w:color w:val="FF0000"/>
          <w:lang w:val="it-IT"/>
        </w:rPr>
        <w:t>Costul reducerii emisiilor = EUR/gCO</w:t>
      </w:r>
      <w:r w:rsidRPr="00ED1025">
        <w:rPr>
          <w:color w:val="FF0000"/>
          <w:vertAlign w:val="subscript"/>
          <w:lang w:val="it-IT"/>
        </w:rPr>
        <w:t>2</w:t>
      </w:r>
      <w:r w:rsidRPr="00ED1025">
        <w:rPr>
          <w:color w:val="FF0000"/>
          <w:lang w:val="it-IT"/>
        </w:rPr>
        <w:t xml:space="preserve"> (costul total al investiției împărțit la reducerea medie anuală estimată a GES furnizată de investiție), inclusiv scenariul de referință și ipotezele care stau la baza estimării.</w:t>
      </w:r>
    </w:p>
    <w:p w14:paraId="6F2F2AAB" w14:textId="77777777" w:rsidR="00546E7B" w:rsidRDefault="00546E7B" w:rsidP="00546E7B">
      <w:pPr>
        <w:ind w:left="0"/>
        <w:rPr>
          <w:color w:val="FF0000"/>
          <w:lang w:val="it-IT"/>
        </w:rPr>
      </w:pPr>
    </w:p>
    <w:p w14:paraId="2D1DE656" w14:textId="6F1A33A0" w:rsidR="00546E7B" w:rsidRPr="005606E6" w:rsidRDefault="00546E7B" w:rsidP="00546E7B">
      <w:pPr>
        <w:ind w:left="-284" w:hanging="142"/>
        <w:rPr>
          <w:lang w:val="ro-RO"/>
        </w:rPr>
      </w:pPr>
      <w:r>
        <w:rPr>
          <w:lang w:val="ro-RO"/>
        </w:rPr>
        <w:t>F</w:t>
      </w:r>
      <w:r w:rsidRPr="00546E7B">
        <w:rPr>
          <w:lang w:val="ro-RO"/>
        </w:rPr>
        <w:t>actorul mediu ponderat național de emisie de CO2 pentru sursele fosile (0,6119 tone CO2/MWh</w:t>
      </w:r>
      <w:r>
        <w:rPr>
          <w:lang w:val="ro-RO"/>
        </w:rPr>
        <w:t>)</w:t>
      </w:r>
    </w:p>
    <w:p w14:paraId="254D9A1C" w14:textId="77777777" w:rsidR="00546E7B" w:rsidRPr="00546E7B" w:rsidRDefault="00546E7B" w:rsidP="00546E7B">
      <w:pPr>
        <w:ind w:left="0"/>
        <w:rPr>
          <w:lang w:val="it-IT"/>
        </w:rPr>
      </w:pPr>
    </w:p>
    <w:sectPr w:rsidR="00546E7B" w:rsidRPr="00546E7B" w:rsidSect="000B3219">
      <w:headerReference w:type="even" r:id="rId8"/>
      <w:headerReference w:type="default" r:id="rId9"/>
      <w:footerReference w:type="default" r:id="rId10"/>
      <w:headerReference w:type="first" r:id="rId11"/>
      <w:pgSz w:w="11900" w:h="16840"/>
      <w:pgMar w:top="851" w:right="1134" w:bottom="1134" w:left="1134"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3311" w14:textId="77777777" w:rsidR="00FA17A5" w:rsidRDefault="00FA17A5" w:rsidP="00CD5B3B">
      <w:pPr>
        <w:rPr>
          <w:rFonts w:cs="Times New Roman"/>
        </w:rPr>
      </w:pPr>
      <w:r>
        <w:rPr>
          <w:rFonts w:cs="Times New Roman"/>
        </w:rPr>
        <w:separator/>
      </w:r>
    </w:p>
  </w:endnote>
  <w:endnote w:type="continuationSeparator" w:id="0">
    <w:p w14:paraId="4FF05566" w14:textId="77777777" w:rsidR="00FA17A5" w:rsidRDefault="00FA17A5"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 Sans Std Light">
    <w:altName w:val="Segoe Script"/>
    <w:panose1 w:val="00000000000000000000"/>
    <w:charset w:val="00"/>
    <w:family w:val="swiss"/>
    <w:notTrueType/>
    <w:pitch w:val="variable"/>
    <w:sig w:usb0="00000001" w:usb1="5000205B" w:usb2="00000000" w:usb3="00000000" w:csb0="00000083" w:csb1="00000000"/>
  </w:font>
  <w:font w:name="Verdana">
    <w:panose1 w:val="020B0604030504040204"/>
    <w:charset w:val="00"/>
    <w:family w:val="swiss"/>
    <w:pitch w:val="variable"/>
    <w:sig w:usb0="A00006FF" w:usb1="4000205B" w:usb2="00000010" w:usb3="00000000" w:csb0="0000019F" w:csb1="00000000"/>
  </w:font>
  <w:font w:name="Trajan Pro">
    <w:altName w:val="Georgia"/>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1FE4" w14:textId="77777777" w:rsidR="00215611" w:rsidRDefault="00C36D64">
    <w:pPr>
      <w:pStyle w:val="Footer"/>
    </w:pPr>
    <w:r>
      <w:rPr>
        <w:noProof/>
        <w:lang w:val="ro-RO" w:eastAsia="ro-RO"/>
      </w:rPr>
      <mc:AlternateContent>
        <mc:Choice Requires="wps">
          <w:drawing>
            <wp:anchor distT="4294967295" distB="4294967295" distL="114300" distR="114300" simplePos="0" relativeHeight="251658240" behindDoc="0" locked="0" layoutInCell="1" allowOverlap="1" wp14:anchorId="5DCF0E75" wp14:editId="6B6A98EF">
              <wp:simplePos x="0" y="0"/>
              <wp:positionH relativeFrom="column">
                <wp:posOffset>7574915</wp:posOffset>
              </wp:positionH>
              <wp:positionV relativeFrom="paragraph">
                <wp:posOffset>-4139565</wp:posOffset>
              </wp:positionV>
              <wp:extent cx="5963285" cy="7620"/>
              <wp:effectExtent l="0" t="0" r="37465" b="3048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762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A6E1" id="Straight Connector 1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45pt,-325.95pt" to="1066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" strokecolor="#17365d"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4BF68" w14:textId="77777777" w:rsidR="00FA17A5" w:rsidRDefault="00FA17A5" w:rsidP="00CD5B3B">
      <w:pPr>
        <w:rPr>
          <w:rFonts w:cs="Times New Roman"/>
        </w:rPr>
      </w:pPr>
      <w:r>
        <w:rPr>
          <w:rFonts w:cs="Times New Roman"/>
        </w:rPr>
        <w:separator/>
      </w:r>
    </w:p>
  </w:footnote>
  <w:footnote w:type="continuationSeparator" w:id="0">
    <w:p w14:paraId="4610E831" w14:textId="77777777" w:rsidR="00FA17A5" w:rsidRDefault="00FA17A5" w:rsidP="00CD5B3B">
      <w:pPr>
        <w:rPr>
          <w:rFonts w:cs="Times New Roman"/>
        </w:rPr>
      </w:pPr>
      <w:r>
        <w:rPr>
          <w:rFonts w:cs="Times New Roman"/>
        </w:rPr>
        <w:continuationSeparator/>
      </w:r>
    </w:p>
  </w:footnote>
  <w:footnote w:id="1">
    <w:p w14:paraId="7723B6EC" w14:textId="77777777" w:rsidR="007D07FC" w:rsidRPr="00AB4BEE" w:rsidRDefault="007D07FC" w:rsidP="002356E9">
      <w:pPr>
        <w:pStyle w:val="FootnoteText"/>
        <w:ind w:left="567"/>
        <w:rPr>
          <w:lang w:val="ro-RO"/>
        </w:rPr>
      </w:pPr>
      <w:r>
        <w:rPr>
          <w:rStyle w:val="FootnoteReference"/>
        </w:rPr>
        <w:footnoteRef/>
      </w:r>
      <w:r w:rsidRPr="00E40FA5">
        <w:rPr>
          <w:lang w:val="it-IT"/>
        </w:rPr>
        <w:t xml:space="preserve"> Regulamentul (UE) 2023/1315 al Comisiei din 23 iunie 2023 de modificare a Regulamentului (UE) nr. 651/</w:t>
      </w:r>
      <w:r>
        <w:rPr>
          <w:lang w:val="it-IT"/>
        </w:rPr>
        <w:t>2014</w:t>
      </w:r>
      <w:r w:rsidRPr="00AB4BEE">
        <w:rPr>
          <w:lang w:val="it-IT"/>
        </w:rPr>
        <w:t xml:space="preserve"> </w:t>
      </w:r>
      <w:r>
        <w:rPr>
          <w:lang w:val="it-IT"/>
        </w:rPr>
        <w:t xml:space="preserve">de declarare a </w:t>
      </w:r>
      <w:r w:rsidRPr="00EA738B">
        <w:rPr>
          <w:lang w:val="it-IT"/>
        </w:rPr>
        <w:t>anumitor categorii de ajutoare compatibile cu piata internă în aplicarea articolelor 107 şi 108 din tratat şi a</w:t>
      </w:r>
      <w:r>
        <w:rPr>
          <w:lang w:val="it-IT"/>
        </w:rPr>
        <w:t xml:space="preserve"> Regulamentului (UE) </w:t>
      </w:r>
      <w:r w:rsidRPr="00EA738B">
        <w:rPr>
          <w:lang w:val="it-IT"/>
        </w:rPr>
        <w:t>2022/2473 de deciarare a anu</w:t>
      </w:r>
      <w:r>
        <w:rPr>
          <w:lang w:val="it-IT"/>
        </w:rPr>
        <w:t>m</w:t>
      </w:r>
      <w:r w:rsidRPr="00EA738B">
        <w:rPr>
          <w:lang w:val="it-IT"/>
        </w:rPr>
        <w:t>itor categorii de ajutoare acordate întreprinderilor care îşi desfăşoară ac</w:t>
      </w:r>
      <w:r>
        <w:rPr>
          <w:lang w:val="it-IT"/>
        </w:rPr>
        <w:t xml:space="preserve">tivitatea </w:t>
      </w:r>
      <w:r>
        <w:rPr>
          <w:lang w:val="ro-RO"/>
        </w:rPr>
        <w:t xml:space="preserve">în producția, </w:t>
      </w:r>
      <w:r w:rsidRPr="00EA738B">
        <w:rPr>
          <w:lang w:val="it-IT"/>
        </w:rPr>
        <w:t xml:space="preserve">prelucrarea şi comercializarea produselor pescăreşti şi de acvacultură ca fiind compatibile cu piata internă, </w:t>
      </w:r>
      <w:r>
        <w:rPr>
          <w:lang w:val="it-IT"/>
        </w:rPr>
        <w:t>în aplicarea articolelor</w:t>
      </w:r>
      <w:r>
        <w:rPr>
          <w:lang w:val="ro-RO"/>
        </w:rPr>
        <w:t xml:space="preserve"> </w:t>
      </w:r>
      <w:r w:rsidRPr="00EA738B">
        <w:rPr>
          <w:lang w:val="it-IT"/>
        </w:rPr>
        <w:t>107 şi 108 din tratat.</w:t>
      </w:r>
    </w:p>
  </w:footnote>
  <w:footnote w:id="2">
    <w:p w14:paraId="302D812F" w14:textId="77777777" w:rsidR="007D07FC" w:rsidRPr="00C93AAE" w:rsidRDefault="007D07FC" w:rsidP="002356E9">
      <w:pPr>
        <w:pStyle w:val="FootnoteText"/>
        <w:ind w:left="567"/>
        <w:rPr>
          <w:lang w:val="ro-RO"/>
        </w:rPr>
      </w:pPr>
      <w:r>
        <w:rPr>
          <w:rStyle w:val="FootnoteReference"/>
        </w:rPr>
        <w:footnoteRef/>
      </w:r>
      <w:r w:rsidRPr="00C93AAE">
        <w:rPr>
          <w:lang w:val="ro-RO"/>
        </w:rPr>
        <w:t xml:space="preserve"> REGULAMENTUL DE PUNERE ÎN APLICARE (UE) 2023/2606 AL COMISIEI din 22 noiembrie 2023 de modificare a Regulamentului de punere în aplicare (UE) 2020/1001 de stabilire a unor norme detaliate de aplicare a Directivei 2003/87/CE a Parlamentului European și a Consiliului în ceea ce privește funcționarea Fondului pentru modernizare care sprijină investițiile în vederea modernizării sistemelor energetice și a îmbunătățirii eficienței energetice a anumitor state membre</w:t>
      </w:r>
    </w:p>
  </w:footnote>
  <w:footnote w:id="3">
    <w:p w14:paraId="0D5EE088" w14:textId="77777777" w:rsidR="007D07FC" w:rsidRPr="00A81E7E" w:rsidRDefault="007D07FC" w:rsidP="002356E9">
      <w:pPr>
        <w:pStyle w:val="FootnoteText"/>
        <w:ind w:hanging="1134"/>
        <w:rPr>
          <w:sz w:val="18"/>
          <w:szCs w:val="18"/>
          <w:lang w:val="it-IT"/>
        </w:rPr>
      </w:pPr>
      <w:r>
        <w:rPr>
          <w:rStyle w:val="FootnoteReference"/>
        </w:rPr>
        <w:footnoteRef/>
      </w:r>
      <w:r w:rsidRPr="002F0E17">
        <w:rPr>
          <w:lang w:val="es-ES"/>
        </w:rPr>
        <w:t xml:space="preserve"> </w:t>
      </w:r>
      <w:r w:rsidRPr="00CE2349">
        <w:rPr>
          <w:sz w:val="16"/>
          <w:szCs w:val="16"/>
          <w:lang w:val="ro-RO"/>
        </w:rPr>
        <w:t xml:space="preserve">regăsită la adresa: </w:t>
      </w:r>
      <w:hyperlink r:id="rId1" w:history="1">
        <w:r w:rsidRPr="00CE2349">
          <w:rPr>
            <w:rStyle w:val="Hyperlink"/>
            <w:rFonts w:cs="Calibri"/>
            <w:sz w:val="16"/>
            <w:szCs w:val="16"/>
            <w:lang w:val="ro-RO"/>
          </w:rPr>
          <w:t>http://www.renascc.eu/wp-content/uploads/2020/12/ilovepdf_merged-2.pdf</w:t>
        </w:r>
      </w:hyperlink>
      <w:r w:rsidRPr="006001D8">
        <w:rPr>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702" w:type="dxa"/>
      <w:tblCellMar>
        <w:left w:w="0" w:type="dxa"/>
        <w:right w:w="0" w:type="dxa"/>
      </w:tblCellMar>
      <w:tblLook w:val="00A0" w:firstRow="1" w:lastRow="0" w:firstColumn="1" w:lastColumn="0" w:noHBand="0" w:noVBand="0"/>
    </w:tblPr>
    <w:tblGrid>
      <w:gridCol w:w="11022"/>
      <w:gridCol w:w="35"/>
    </w:tblGrid>
    <w:tr w:rsidR="0039258A" w14:paraId="338CC8AE" w14:textId="77777777" w:rsidTr="00372D84">
      <w:tc>
        <w:tcPr>
          <w:tcW w:w="11022" w:type="dxa"/>
        </w:tcPr>
        <w:p w14:paraId="280FF8D4" w14:textId="77777777" w:rsidR="0039258A" w:rsidRPr="00CD5B3B" w:rsidRDefault="0039258A" w:rsidP="0039258A">
          <w:pPr>
            <w:pStyle w:val="MediumGrid21"/>
            <w:tabs>
              <w:tab w:val="left" w:pos="6456"/>
            </w:tabs>
            <w:rPr>
              <w:rFonts w:cs="Times New Roman"/>
            </w:rPr>
          </w:pPr>
          <w:r>
            <w:rPr>
              <w:rFonts w:cs="Times New Roman"/>
            </w:rPr>
            <w:tab/>
          </w:r>
        </w:p>
      </w:tc>
      <w:tc>
        <w:tcPr>
          <w:tcW w:w="35" w:type="dxa"/>
          <w:vAlign w:val="center"/>
        </w:tcPr>
        <w:p w14:paraId="07C9AC12" w14:textId="77777777" w:rsidR="0039258A" w:rsidRDefault="0039258A" w:rsidP="0039258A">
          <w:pPr>
            <w:pStyle w:val="MediumGrid21"/>
            <w:jc w:val="right"/>
            <w:rPr>
              <w:rFonts w:cs="Times New Roman"/>
            </w:rPr>
          </w:pPr>
        </w:p>
        <w:p w14:paraId="5EDAD3DA" w14:textId="77777777" w:rsidR="0039258A" w:rsidRDefault="0039258A" w:rsidP="0039258A">
          <w:pPr>
            <w:pStyle w:val="MediumGrid21"/>
            <w:jc w:val="right"/>
            <w:rPr>
              <w:rFonts w:cs="Times New Roman"/>
            </w:rPr>
          </w:pPr>
        </w:p>
        <w:p w14:paraId="0BFE3D92" w14:textId="77777777" w:rsidR="0039258A" w:rsidRDefault="0039258A" w:rsidP="0039258A">
          <w:pPr>
            <w:pStyle w:val="MediumGrid21"/>
            <w:jc w:val="right"/>
            <w:rPr>
              <w:rFonts w:cs="Times New Roman"/>
            </w:rPr>
          </w:pPr>
        </w:p>
      </w:tc>
    </w:tr>
  </w:tbl>
  <w:p w14:paraId="3AFB8F5B" w14:textId="77777777" w:rsidR="00FC5DF3" w:rsidRDefault="00FC5DF3" w:rsidP="00CA405B">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702" w:type="dxa"/>
      <w:tblCellMar>
        <w:left w:w="0" w:type="dxa"/>
        <w:right w:w="0" w:type="dxa"/>
      </w:tblCellMar>
      <w:tblLook w:val="00A0" w:firstRow="1" w:lastRow="0" w:firstColumn="1" w:lastColumn="0" w:noHBand="0" w:noVBand="0"/>
    </w:tblPr>
    <w:tblGrid>
      <w:gridCol w:w="11022"/>
      <w:gridCol w:w="35"/>
    </w:tblGrid>
    <w:tr w:rsidR="0039258A" w14:paraId="19171AC7" w14:textId="77777777" w:rsidTr="00372D84">
      <w:tc>
        <w:tcPr>
          <w:tcW w:w="11022" w:type="dxa"/>
        </w:tcPr>
        <w:p w14:paraId="1B32BD65" w14:textId="77777777" w:rsidR="0039258A" w:rsidRPr="00CD5B3B" w:rsidRDefault="0039258A" w:rsidP="0039258A">
          <w:pPr>
            <w:pStyle w:val="MediumGrid21"/>
            <w:tabs>
              <w:tab w:val="left" w:pos="6456"/>
            </w:tabs>
            <w:rPr>
              <w:rFonts w:cs="Times New Roman"/>
            </w:rPr>
          </w:pPr>
          <w:r>
            <w:rPr>
              <w:rFonts w:cs="Times New Roman"/>
            </w:rPr>
            <w:tab/>
          </w:r>
        </w:p>
      </w:tc>
      <w:tc>
        <w:tcPr>
          <w:tcW w:w="35" w:type="dxa"/>
          <w:vAlign w:val="center"/>
        </w:tcPr>
        <w:p w14:paraId="04987D73" w14:textId="77777777" w:rsidR="0039258A" w:rsidRDefault="0039258A" w:rsidP="0039258A">
          <w:pPr>
            <w:pStyle w:val="MediumGrid21"/>
            <w:jc w:val="right"/>
            <w:rPr>
              <w:rFonts w:cs="Times New Roman"/>
            </w:rPr>
          </w:pPr>
        </w:p>
        <w:p w14:paraId="69114944" w14:textId="77777777" w:rsidR="0039258A" w:rsidRDefault="0039258A" w:rsidP="0039258A">
          <w:pPr>
            <w:pStyle w:val="MediumGrid21"/>
            <w:jc w:val="right"/>
            <w:rPr>
              <w:rFonts w:cs="Times New Roman"/>
            </w:rPr>
          </w:pPr>
        </w:p>
        <w:p w14:paraId="5734A126" w14:textId="77777777" w:rsidR="0039258A" w:rsidRDefault="0039258A" w:rsidP="0039258A">
          <w:pPr>
            <w:pStyle w:val="MediumGrid21"/>
            <w:jc w:val="right"/>
            <w:rPr>
              <w:rFonts w:cs="Times New Roman"/>
            </w:rPr>
          </w:pPr>
        </w:p>
      </w:tc>
    </w:tr>
  </w:tbl>
  <w:p w14:paraId="266B1451" w14:textId="77777777" w:rsidR="00FC5DF3" w:rsidRDefault="00FC5DF3" w:rsidP="00834CB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702" w:type="dxa"/>
      <w:tblCellMar>
        <w:left w:w="0" w:type="dxa"/>
        <w:right w:w="0" w:type="dxa"/>
      </w:tblCellMar>
      <w:tblLook w:val="00A0" w:firstRow="1" w:lastRow="0" w:firstColumn="1" w:lastColumn="0" w:noHBand="0" w:noVBand="0"/>
    </w:tblPr>
    <w:tblGrid>
      <w:gridCol w:w="11057"/>
      <w:gridCol w:w="6"/>
    </w:tblGrid>
    <w:tr w:rsidR="00FC5DF3" w14:paraId="63AB1A73" w14:textId="77777777" w:rsidTr="001F3F12">
      <w:tc>
        <w:tcPr>
          <w:tcW w:w="11022" w:type="dxa"/>
        </w:tcPr>
        <w:tbl>
          <w:tblPr>
            <w:tblW w:w="11057" w:type="dxa"/>
            <w:tblCellMar>
              <w:left w:w="0" w:type="dxa"/>
              <w:right w:w="0" w:type="dxa"/>
            </w:tblCellMar>
            <w:tblLook w:val="00A0" w:firstRow="1" w:lastRow="0" w:firstColumn="1" w:lastColumn="0" w:noHBand="0" w:noVBand="0"/>
          </w:tblPr>
          <w:tblGrid>
            <w:gridCol w:w="11022"/>
            <w:gridCol w:w="35"/>
          </w:tblGrid>
          <w:tr w:rsidR="00F06630" w14:paraId="29EA561B" w14:textId="77777777" w:rsidTr="0020102A">
            <w:tc>
              <w:tcPr>
                <w:tcW w:w="11022" w:type="dxa"/>
              </w:tcPr>
              <w:p w14:paraId="37DF20DC" w14:textId="065F289D" w:rsidR="00F06630" w:rsidRPr="00CD5B3B" w:rsidRDefault="00CB46DC" w:rsidP="00F06630">
                <w:pPr>
                  <w:pStyle w:val="MediumGrid21"/>
                  <w:tabs>
                    <w:tab w:val="left" w:pos="6456"/>
                  </w:tabs>
                  <w:rPr>
                    <w:rFonts w:cs="Times New Roman"/>
                  </w:rPr>
                </w:pPr>
                <w:r w:rsidRPr="00493720">
                  <w:rPr>
                    <w:rFonts w:ascii="Trajan Pro" w:hAnsi="Trajan Pro"/>
                    <w:noProof/>
                    <w:color w:val="FF0000"/>
                    <w:lang w:val="ro-RO" w:eastAsia="ro-RO"/>
                  </w:rPr>
                  <w:drawing>
                    <wp:anchor distT="0" distB="0" distL="114300" distR="114300" simplePos="0" relativeHeight="251660288" behindDoc="1" locked="0" layoutInCell="1" allowOverlap="1" wp14:anchorId="06316C2C" wp14:editId="616DB954">
                      <wp:simplePos x="0" y="0"/>
                      <wp:positionH relativeFrom="column">
                        <wp:posOffset>449580</wp:posOffset>
                      </wp:positionH>
                      <wp:positionV relativeFrom="paragraph">
                        <wp:posOffset>2540</wp:posOffset>
                      </wp:positionV>
                      <wp:extent cx="4480560" cy="861627"/>
                      <wp:effectExtent l="0" t="0" r="0" b="0"/>
                      <wp:wrapNone/>
                      <wp:docPr id="1417901838" name="Picture 141790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45589" cy="874132"/>
                              </a:xfrm>
                              <a:prstGeom prst="rect">
                                <a:avLst/>
                              </a:prstGeom>
                            </pic:spPr>
                          </pic:pic>
                        </a:graphicData>
                      </a:graphic>
                      <wp14:sizeRelH relativeFrom="page">
                        <wp14:pctWidth>0</wp14:pctWidth>
                      </wp14:sizeRelH>
                      <wp14:sizeRelV relativeFrom="page">
                        <wp14:pctHeight>0</wp14:pctHeight>
                      </wp14:sizeRelV>
                    </wp:anchor>
                  </w:drawing>
                </w:r>
                <w:r>
                  <w:rPr>
                    <w:rFonts w:cs="Times New Roman"/>
                  </w:rPr>
                  <w:t xml:space="preserve">        </w:t>
                </w:r>
                <w:r w:rsidR="00F06630">
                  <w:rPr>
                    <w:rFonts w:cs="Times New Roman"/>
                  </w:rPr>
                  <w:tab/>
                </w:r>
              </w:p>
            </w:tc>
            <w:tc>
              <w:tcPr>
                <w:tcW w:w="35" w:type="dxa"/>
                <w:vAlign w:val="center"/>
              </w:tcPr>
              <w:p w14:paraId="05FC6986" w14:textId="77777777" w:rsidR="00F06630" w:rsidRDefault="00F06630" w:rsidP="00F06630">
                <w:pPr>
                  <w:pStyle w:val="MediumGrid21"/>
                  <w:jc w:val="right"/>
                  <w:rPr>
                    <w:rFonts w:cs="Times New Roman"/>
                  </w:rPr>
                </w:pPr>
              </w:p>
              <w:p w14:paraId="3F68E5BD" w14:textId="77777777" w:rsidR="00F06630" w:rsidRDefault="00F06630" w:rsidP="00F06630">
                <w:pPr>
                  <w:pStyle w:val="MediumGrid21"/>
                  <w:jc w:val="right"/>
                  <w:rPr>
                    <w:rFonts w:cs="Times New Roman"/>
                  </w:rPr>
                </w:pPr>
              </w:p>
              <w:p w14:paraId="36425602" w14:textId="77777777" w:rsidR="00F06630" w:rsidRDefault="00F06630" w:rsidP="00F06630">
                <w:pPr>
                  <w:pStyle w:val="MediumGrid21"/>
                  <w:jc w:val="right"/>
                  <w:rPr>
                    <w:rFonts w:cs="Times New Roman"/>
                  </w:rPr>
                </w:pPr>
              </w:p>
            </w:tc>
          </w:tr>
        </w:tbl>
        <w:p w14:paraId="1DF6194F" w14:textId="77777777" w:rsidR="00FC5DF3" w:rsidRPr="00CD5B3B" w:rsidRDefault="00FC5DF3" w:rsidP="00A83B6E">
          <w:pPr>
            <w:pStyle w:val="MediumGrid21"/>
            <w:tabs>
              <w:tab w:val="left" w:pos="6456"/>
              <w:tab w:val="left" w:pos="9795"/>
            </w:tabs>
            <w:rPr>
              <w:rFonts w:cs="Times New Roman"/>
            </w:rPr>
          </w:pPr>
        </w:p>
      </w:tc>
      <w:tc>
        <w:tcPr>
          <w:tcW w:w="35" w:type="dxa"/>
          <w:vAlign w:val="center"/>
        </w:tcPr>
        <w:p w14:paraId="0535BAD4" w14:textId="77777777" w:rsidR="00FC5DF3" w:rsidRDefault="00FC5DF3" w:rsidP="00E562FC">
          <w:pPr>
            <w:pStyle w:val="MediumGrid21"/>
            <w:jc w:val="right"/>
            <w:rPr>
              <w:rFonts w:cs="Times New Roman"/>
            </w:rPr>
          </w:pPr>
        </w:p>
        <w:p w14:paraId="794D034C" w14:textId="77777777" w:rsidR="00FC5DF3" w:rsidRDefault="00FC5DF3" w:rsidP="00E562FC">
          <w:pPr>
            <w:pStyle w:val="MediumGrid21"/>
            <w:jc w:val="right"/>
            <w:rPr>
              <w:rFonts w:cs="Times New Roman"/>
            </w:rPr>
          </w:pPr>
        </w:p>
        <w:p w14:paraId="1A8461DD" w14:textId="77777777" w:rsidR="00FC5DF3" w:rsidRDefault="00FC5DF3" w:rsidP="00E562FC">
          <w:pPr>
            <w:pStyle w:val="MediumGrid21"/>
            <w:jc w:val="right"/>
            <w:rPr>
              <w:rFonts w:cs="Times New Roman"/>
            </w:rPr>
          </w:pPr>
        </w:p>
      </w:tc>
    </w:tr>
  </w:tbl>
  <w:p w14:paraId="36228C56" w14:textId="77777777" w:rsidR="00FC5DF3" w:rsidRPr="005E38B5" w:rsidRDefault="00A83B6E" w:rsidP="00A83B6E">
    <w:pPr>
      <w:pStyle w:val="Footer"/>
      <w:tabs>
        <w:tab w:val="center" w:pos="5695"/>
        <w:tab w:val="left" w:pos="7440"/>
      </w:tabs>
      <w:spacing w:after="0" w:line="240" w:lineRule="auto"/>
      <w:jc w:val="left"/>
      <w:rPr>
        <w:rFonts w:ascii="Trebuchet MS" w:hAnsi="Trebuchet MS" w:cs="Trebuchet MS"/>
        <w:sz w:val="22"/>
        <w:szCs w:val="22"/>
        <w:lang w:val="it-IT"/>
      </w:rPr>
    </w:pPr>
    <w:r>
      <w:rPr>
        <w:rFonts w:ascii="Trebuchet MS" w:hAnsi="Trebuchet MS" w:cs="Trebuchet MS"/>
        <w:sz w:val="22"/>
        <w:szCs w:val="22"/>
        <w:lang w:val="it-IT"/>
      </w:rPr>
      <w:tab/>
    </w:r>
    <w:r>
      <w:rPr>
        <w:rFonts w:ascii="Trebuchet MS" w:hAnsi="Trebuchet MS" w:cs="Trebuchet MS"/>
        <w:sz w:val="22"/>
        <w:szCs w:val="22"/>
        <w:lang w:val="it-IT"/>
      </w:rPr>
      <w:tab/>
    </w:r>
    <w:r w:rsidR="00FC5DF3" w:rsidRPr="005E38B5">
      <w:rPr>
        <w:rFonts w:ascii="Trebuchet MS" w:hAnsi="Trebuchet MS" w:cs="Trebuchet MS"/>
        <w:sz w:val="22"/>
        <w:szCs w:val="22"/>
        <w:lang w:val="it-IT"/>
      </w:rPr>
      <w:t xml:space="preserve">   </w:t>
    </w:r>
    <w:r>
      <w:rPr>
        <w:rFonts w:ascii="Trebuchet MS" w:hAnsi="Trebuchet MS" w:cs="Trebuchet MS"/>
        <w:sz w:val="22"/>
        <w:szCs w:val="22"/>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238C"/>
    <w:multiLevelType w:val="hybridMultilevel"/>
    <w:tmpl w:val="144AB2A4"/>
    <w:lvl w:ilvl="0" w:tplc="08EA4C3C">
      <w:numFmt w:val="bullet"/>
      <w:lvlText w:val="-"/>
      <w:lvlJc w:val="left"/>
      <w:pPr>
        <w:ind w:left="76" w:hanging="360"/>
      </w:pPr>
      <w:rPr>
        <w:rFonts w:ascii="Trebuchet MS" w:eastAsia="Times New Roman" w:hAnsi="Trebuchet MS" w:cs="Times New Roman"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1" w15:restartNumberingAfterBreak="0">
    <w:nsid w:val="02C4400A"/>
    <w:multiLevelType w:val="hybridMultilevel"/>
    <w:tmpl w:val="B8983BFA"/>
    <w:lvl w:ilvl="0" w:tplc="353249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7A1CBE"/>
    <w:multiLevelType w:val="hybridMultilevel"/>
    <w:tmpl w:val="B4E2B446"/>
    <w:lvl w:ilvl="0" w:tplc="ACD63C04">
      <w:start w:val="1"/>
      <w:numFmt w:val="decimal"/>
      <w:lvlText w:val="(%1)"/>
      <w:lvlJc w:val="right"/>
      <w:pPr>
        <w:ind w:left="363" w:hanging="360"/>
      </w:pPr>
      <w:rPr>
        <w:rFonts w:hint="default"/>
        <w:b w:val="0"/>
        <w:i w:val="0"/>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15:restartNumberingAfterBreak="0">
    <w:nsid w:val="0B685279"/>
    <w:multiLevelType w:val="hybridMultilevel"/>
    <w:tmpl w:val="748EFA2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A14EA1"/>
    <w:multiLevelType w:val="hybridMultilevel"/>
    <w:tmpl w:val="148A3132"/>
    <w:lvl w:ilvl="0" w:tplc="69A66102">
      <w:start w:val="9"/>
      <w:numFmt w:val="bullet"/>
      <w:lvlText w:val="-"/>
      <w:lvlJc w:val="left"/>
      <w:pPr>
        <w:ind w:left="435" w:hanging="360"/>
      </w:pPr>
      <w:rPr>
        <w:rFonts w:ascii="Trebuchet MS" w:eastAsia="Times New Roman" w:hAnsi="Trebuchet MS"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5" w15:restartNumberingAfterBreak="0">
    <w:nsid w:val="0C316A4F"/>
    <w:multiLevelType w:val="hybridMultilevel"/>
    <w:tmpl w:val="714E52B2"/>
    <w:lvl w:ilvl="0" w:tplc="04180011">
      <w:start w:val="1"/>
      <w:numFmt w:val="decimal"/>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6" w15:restartNumberingAfterBreak="0">
    <w:nsid w:val="18121538"/>
    <w:multiLevelType w:val="hybridMultilevel"/>
    <w:tmpl w:val="F5B244FA"/>
    <w:lvl w:ilvl="0" w:tplc="218094D2">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20D5"/>
    <w:multiLevelType w:val="multilevel"/>
    <w:tmpl w:val="91E80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E42D4"/>
    <w:multiLevelType w:val="hybridMultilevel"/>
    <w:tmpl w:val="FEA84048"/>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9" w15:restartNumberingAfterBreak="0">
    <w:nsid w:val="206C148D"/>
    <w:multiLevelType w:val="hybridMultilevel"/>
    <w:tmpl w:val="11568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45703"/>
    <w:multiLevelType w:val="hybridMultilevel"/>
    <w:tmpl w:val="01C689FA"/>
    <w:lvl w:ilvl="0" w:tplc="04090001">
      <w:start w:val="1"/>
      <w:numFmt w:val="bullet"/>
      <w:lvlText w:val=""/>
      <w:lvlJc w:val="left"/>
      <w:pPr>
        <w:ind w:left="990" w:hanging="360"/>
      </w:pPr>
      <w:rPr>
        <w:rFonts w:ascii="Symbol" w:hAnsi="Symbol" w:hint="default"/>
        <w:b/>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1" w15:restartNumberingAfterBreak="0">
    <w:nsid w:val="25E15284"/>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12" w15:restartNumberingAfterBreak="0">
    <w:nsid w:val="28422524"/>
    <w:multiLevelType w:val="hybridMultilevel"/>
    <w:tmpl w:val="A0B849F4"/>
    <w:lvl w:ilvl="0" w:tplc="F10CECC4">
      <w:start w:val="1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8733BF"/>
    <w:multiLevelType w:val="hybridMultilevel"/>
    <w:tmpl w:val="9738DBA8"/>
    <w:lvl w:ilvl="0" w:tplc="9B26A168">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2B440920"/>
    <w:multiLevelType w:val="hybridMultilevel"/>
    <w:tmpl w:val="19D2D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1160B"/>
    <w:multiLevelType w:val="hybridMultilevel"/>
    <w:tmpl w:val="A08EE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7532"/>
    <w:multiLevelType w:val="hybridMultilevel"/>
    <w:tmpl w:val="34C27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17BFF"/>
    <w:multiLevelType w:val="hybridMultilevel"/>
    <w:tmpl w:val="C96CC884"/>
    <w:lvl w:ilvl="0" w:tplc="EC74E66C">
      <w:start w:val="7"/>
      <w:numFmt w:val="decimal"/>
      <w:lvlText w:val="(%1)"/>
      <w:lvlJc w:val="left"/>
      <w:pPr>
        <w:ind w:left="363" w:hanging="360"/>
      </w:pPr>
      <w:rPr>
        <w:rFonts w:ascii="Trebuchet MS" w:hAnsi="Trebuchet MS" w:hint="default"/>
      </w:rPr>
    </w:lvl>
    <w:lvl w:ilvl="1" w:tplc="04180019" w:tentative="1">
      <w:start w:val="1"/>
      <w:numFmt w:val="lowerLetter"/>
      <w:lvlText w:val="%2."/>
      <w:lvlJc w:val="left"/>
      <w:pPr>
        <w:ind w:left="1083" w:hanging="360"/>
      </w:pPr>
    </w:lvl>
    <w:lvl w:ilvl="2" w:tplc="0418001B" w:tentative="1">
      <w:start w:val="1"/>
      <w:numFmt w:val="lowerRoman"/>
      <w:lvlText w:val="%3."/>
      <w:lvlJc w:val="right"/>
      <w:pPr>
        <w:ind w:left="1803" w:hanging="180"/>
      </w:pPr>
    </w:lvl>
    <w:lvl w:ilvl="3" w:tplc="0418000F" w:tentative="1">
      <w:start w:val="1"/>
      <w:numFmt w:val="decimal"/>
      <w:lvlText w:val="%4."/>
      <w:lvlJc w:val="left"/>
      <w:pPr>
        <w:ind w:left="2523" w:hanging="360"/>
      </w:pPr>
    </w:lvl>
    <w:lvl w:ilvl="4" w:tplc="04180019" w:tentative="1">
      <w:start w:val="1"/>
      <w:numFmt w:val="lowerLetter"/>
      <w:lvlText w:val="%5."/>
      <w:lvlJc w:val="left"/>
      <w:pPr>
        <w:ind w:left="3243" w:hanging="360"/>
      </w:pPr>
    </w:lvl>
    <w:lvl w:ilvl="5" w:tplc="0418001B" w:tentative="1">
      <w:start w:val="1"/>
      <w:numFmt w:val="lowerRoman"/>
      <w:lvlText w:val="%6."/>
      <w:lvlJc w:val="right"/>
      <w:pPr>
        <w:ind w:left="3963" w:hanging="180"/>
      </w:pPr>
    </w:lvl>
    <w:lvl w:ilvl="6" w:tplc="0418000F" w:tentative="1">
      <w:start w:val="1"/>
      <w:numFmt w:val="decimal"/>
      <w:lvlText w:val="%7."/>
      <w:lvlJc w:val="left"/>
      <w:pPr>
        <w:ind w:left="4683" w:hanging="360"/>
      </w:pPr>
    </w:lvl>
    <w:lvl w:ilvl="7" w:tplc="04180019" w:tentative="1">
      <w:start w:val="1"/>
      <w:numFmt w:val="lowerLetter"/>
      <w:lvlText w:val="%8."/>
      <w:lvlJc w:val="left"/>
      <w:pPr>
        <w:ind w:left="5403" w:hanging="360"/>
      </w:pPr>
    </w:lvl>
    <w:lvl w:ilvl="8" w:tplc="0418001B" w:tentative="1">
      <w:start w:val="1"/>
      <w:numFmt w:val="lowerRoman"/>
      <w:lvlText w:val="%9."/>
      <w:lvlJc w:val="right"/>
      <w:pPr>
        <w:ind w:left="6123" w:hanging="180"/>
      </w:pPr>
    </w:lvl>
  </w:abstractNum>
  <w:abstractNum w:abstractNumId="18" w15:restartNumberingAfterBreak="0">
    <w:nsid w:val="37FB4E63"/>
    <w:multiLevelType w:val="hybridMultilevel"/>
    <w:tmpl w:val="07D497B8"/>
    <w:lvl w:ilvl="0" w:tplc="F4C84E4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C357839"/>
    <w:multiLevelType w:val="hybridMultilevel"/>
    <w:tmpl w:val="B4E2B446"/>
    <w:lvl w:ilvl="0" w:tplc="ACD63C04">
      <w:start w:val="1"/>
      <w:numFmt w:val="decimal"/>
      <w:lvlText w:val="(%1)"/>
      <w:lvlJc w:val="right"/>
      <w:pPr>
        <w:ind w:left="363" w:hanging="360"/>
      </w:pPr>
      <w:rPr>
        <w:rFonts w:hint="default"/>
        <w:b w:val="0"/>
        <w:i w:val="0"/>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3E5D4918"/>
    <w:multiLevelType w:val="hybridMultilevel"/>
    <w:tmpl w:val="1D4E9C9E"/>
    <w:lvl w:ilvl="0" w:tplc="BAA6027E">
      <w:start w:val="1"/>
      <w:numFmt w:val="lowerRoman"/>
      <w:lvlText w:val="%1."/>
      <w:lvlJc w:val="left"/>
      <w:pPr>
        <w:ind w:left="1647" w:hanging="72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1" w15:restartNumberingAfterBreak="0">
    <w:nsid w:val="3F21140C"/>
    <w:multiLevelType w:val="hybridMultilevel"/>
    <w:tmpl w:val="824E663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E46946"/>
    <w:multiLevelType w:val="hybridMultilevel"/>
    <w:tmpl w:val="44AAA454"/>
    <w:lvl w:ilvl="0" w:tplc="46521B36">
      <w:start w:val="3"/>
      <w:numFmt w:val="bullet"/>
      <w:lvlText w:val="-"/>
      <w:lvlJc w:val="left"/>
      <w:pPr>
        <w:ind w:left="927" w:hanging="360"/>
      </w:pPr>
      <w:rPr>
        <w:rFonts w:ascii="Trebuchet MS" w:eastAsia="MS Mincho" w:hAnsi="Trebuchet MS" w:cs="Trebuchet M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3" w15:restartNumberingAfterBreak="0">
    <w:nsid w:val="49D659F4"/>
    <w:multiLevelType w:val="hybridMultilevel"/>
    <w:tmpl w:val="43DEEBF2"/>
    <w:lvl w:ilvl="0" w:tplc="0809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15:restartNumberingAfterBreak="0">
    <w:nsid w:val="4C9F297D"/>
    <w:multiLevelType w:val="hybridMultilevel"/>
    <w:tmpl w:val="DC765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4104D"/>
    <w:multiLevelType w:val="hybridMultilevel"/>
    <w:tmpl w:val="1BD65E72"/>
    <w:lvl w:ilvl="0" w:tplc="0809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6" w15:restartNumberingAfterBreak="0">
    <w:nsid w:val="561C3908"/>
    <w:multiLevelType w:val="hybridMultilevel"/>
    <w:tmpl w:val="CA0E06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682248"/>
    <w:multiLevelType w:val="hybridMultilevel"/>
    <w:tmpl w:val="93C69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D51610"/>
    <w:multiLevelType w:val="hybridMultilevel"/>
    <w:tmpl w:val="51686B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C91C69"/>
    <w:multiLevelType w:val="hybridMultilevel"/>
    <w:tmpl w:val="5B82D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05F2F"/>
    <w:multiLevelType w:val="hybridMultilevel"/>
    <w:tmpl w:val="B710712A"/>
    <w:lvl w:ilvl="0" w:tplc="CC8A63E4">
      <w:start w:val="2"/>
      <w:numFmt w:val="decimal"/>
      <w:lvlText w:val="(%1)"/>
      <w:lvlJc w:val="left"/>
      <w:pPr>
        <w:ind w:left="363" w:hanging="360"/>
      </w:pPr>
      <w:rPr>
        <w:rFonts w:hint="default"/>
      </w:rPr>
    </w:lvl>
    <w:lvl w:ilvl="1" w:tplc="04180019" w:tentative="1">
      <w:start w:val="1"/>
      <w:numFmt w:val="lowerLetter"/>
      <w:lvlText w:val="%2."/>
      <w:lvlJc w:val="left"/>
      <w:pPr>
        <w:ind w:left="1083" w:hanging="360"/>
      </w:pPr>
    </w:lvl>
    <w:lvl w:ilvl="2" w:tplc="0418001B" w:tentative="1">
      <w:start w:val="1"/>
      <w:numFmt w:val="lowerRoman"/>
      <w:lvlText w:val="%3."/>
      <w:lvlJc w:val="right"/>
      <w:pPr>
        <w:ind w:left="1803" w:hanging="180"/>
      </w:pPr>
    </w:lvl>
    <w:lvl w:ilvl="3" w:tplc="0418000F" w:tentative="1">
      <w:start w:val="1"/>
      <w:numFmt w:val="decimal"/>
      <w:lvlText w:val="%4."/>
      <w:lvlJc w:val="left"/>
      <w:pPr>
        <w:ind w:left="2523" w:hanging="360"/>
      </w:pPr>
    </w:lvl>
    <w:lvl w:ilvl="4" w:tplc="04180019" w:tentative="1">
      <w:start w:val="1"/>
      <w:numFmt w:val="lowerLetter"/>
      <w:lvlText w:val="%5."/>
      <w:lvlJc w:val="left"/>
      <w:pPr>
        <w:ind w:left="3243" w:hanging="360"/>
      </w:pPr>
    </w:lvl>
    <w:lvl w:ilvl="5" w:tplc="0418001B" w:tentative="1">
      <w:start w:val="1"/>
      <w:numFmt w:val="lowerRoman"/>
      <w:lvlText w:val="%6."/>
      <w:lvlJc w:val="right"/>
      <w:pPr>
        <w:ind w:left="3963" w:hanging="180"/>
      </w:pPr>
    </w:lvl>
    <w:lvl w:ilvl="6" w:tplc="0418000F" w:tentative="1">
      <w:start w:val="1"/>
      <w:numFmt w:val="decimal"/>
      <w:lvlText w:val="%7."/>
      <w:lvlJc w:val="left"/>
      <w:pPr>
        <w:ind w:left="4683" w:hanging="360"/>
      </w:pPr>
    </w:lvl>
    <w:lvl w:ilvl="7" w:tplc="04180019" w:tentative="1">
      <w:start w:val="1"/>
      <w:numFmt w:val="lowerLetter"/>
      <w:lvlText w:val="%8."/>
      <w:lvlJc w:val="left"/>
      <w:pPr>
        <w:ind w:left="5403" w:hanging="360"/>
      </w:pPr>
    </w:lvl>
    <w:lvl w:ilvl="8" w:tplc="0418001B" w:tentative="1">
      <w:start w:val="1"/>
      <w:numFmt w:val="lowerRoman"/>
      <w:lvlText w:val="%9."/>
      <w:lvlJc w:val="right"/>
      <w:pPr>
        <w:ind w:left="6123" w:hanging="180"/>
      </w:pPr>
    </w:lvl>
  </w:abstractNum>
  <w:abstractNum w:abstractNumId="31" w15:restartNumberingAfterBreak="0">
    <w:nsid w:val="5E825A2D"/>
    <w:multiLevelType w:val="hybridMultilevel"/>
    <w:tmpl w:val="E6865E70"/>
    <w:lvl w:ilvl="0" w:tplc="4DC4CDD8">
      <w:start w:val="1"/>
      <w:numFmt w:val="lowerLetter"/>
      <w:lvlText w:val="%1)"/>
      <w:lvlJc w:val="left"/>
      <w:pPr>
        <w:ind w:left="720" w:hanging="360"/>
      </w:pPr>
      <w:rPr>
        <w:rFonts w:ascii="Trebuchet MS" w:eastAsiaTheme="minorHAnsi" w:hAnsi="Trebuchet MS" w:cstheme="minorBidi"/>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7171C5"/>
    <w:multiLevelType w:val="hybridMultilevel"/>
    <w:tmpl w:val="3DD21E28"/>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3" w15:restartNumberingAfterBreak="0">
    <w:nsid w:val="633D6615"/>
    <w:multiLevelType w:val="hybridMultilevel"/>
    <w:tmpl w:val="2404145A"/>
    <w:lvl w:ilvl="0" w:tplc="F4C84E4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6A76062D"/>
    <w:multiLevelType w:val="hybridMultilevel"/>
    <w:tmpl w:val="D8DAC57E"/>
    <w:lvl w:ilvl="0" w:tplc="AFCCD40E">
      <w:start w:val="4"/>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5" w15:restartNumberingAfterBreak="0">
    <w:nsid w:val="6A7B2D8E"/>
    <w:multiLevelType w:val="hybridMultilevel"/>
    <w:tmpl w:val="C5DC22F2"/>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C7507E3"/>
    <w:multiLevelType w:val="hybridMultilevel"/>
    <w:tmpl w:val="6856435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D0056D9"/>
    <w:multiLevelType w:val="hybridMultilevel"/>
    <w:tmpl w:val="575491B8"/>
    <w:lvl w:ilvl="0" w:tplc="3BC0AFCC">
      <w:start w:val="3"/>
      <w:numFmt w:val="bullet"/>
      <w:lvlText w:val="-"/>
      <w:lvlJc w:val="left"/>
      <w:pPr>
        <w:ind w:left="435" w:hanging="360"/>
      </w:pPr>
      <w:rPr>
        <w:rFonts w:ascii="Trebuchet MS" w:eastAsia="Times New Roman" w:hAnsi="Trebuchet MS"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8" w15:restartNumberingAfterBreak="0">
    <w:nsid w:val="726E2D33"/>
    <w:multiLevelType w:val="hybridMultilevel"/>
    <w:tmpl w:val="7152B6A0"/>
    <w:lvl w:ilvl="0" w:tplc="9536CE2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15:restartNumberingAfterBreak="0">
    <w:nsid w:val="772228F5"/>
    <w:multiLevelType w:val="hybridMultilevel"/>
    <w:tmpl w:val="74F41028"/>
    <w:lvl w:ilvl="0" w:tplc="BDC81150">
      <w:start w:val="2"/>
      <w:numFmt w:val="lowerRoman"/>
      <w:lvlText w:val="%1."/>
      <w:lvlJc w:val="left"/>
      <w:pPr>
        <w:ind w:left="1647" w:hanging="72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0" w15:restartNumberingAfterBreak="0">
    <w:nsid w:val="77431D31"/>
    <w:multiLevelType w:val="hybridMultilevel"/>
    <w:tmpl w:val="0456B3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C6A48D1"/>
    <w:multiLevelType w:val="hybridMultilevel"/>
    <w:tmpl w:val="220A6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526959">
    <w:abstractNumId w:val="8"/>
  </w:num>
  <w:num w:numId="2" w16cid:durableId="2096128007">
    <w:abstractNumId w:val="4"/>
  </w:num>
  <w:num w:numId="3" w16cid:durableId="1922791333">
    <w:abstractNumId w:val="40"/>
  </w:num>
  <w:num w:numId="4" w16cid:durableId="1165053468">
    <w:abstractNumId w:val="16"/>
  </w:num>
  <w:num w:numId="5" w16cid:durableId="892539533">
    <w:abstractNumId w:val="6"/>
  </w:num>
  <w:num w:numId="6" w16cid:durableId="1515807937">
    <w:abstractNumId w:val="37"/>
  </w:num>
  <w:num w:numId="7" w16cid:durableId="632685297">
    <w:abstractNumId w:val="41"/>
  </w:num>
  <w:num w:numId="8" w16cid:durableId="1458180525">
    <w:abstractNumId w:val="32"/>
  </w:num>
  <w:num w:numId="9" w16cid:durableId="867908377">
    <w:abstractNumId w:val="27"/>
  </w:num>
  <w:num w:numId="10" w16cid:durableId="1559508099">
    <w:abstractNumId w:val="11"/>
  </w:num>
  <w:num w:numId="11" w16cid:durableId="2011591130">
    <w:abstractNumId w:val="14"/>
  </w:num>
  <w:num w:numId="12" w16cid:durableId="840971428">
    <w:abstractNumId w:val="15"/>
  </w:num>
  <w:num w:numId="13" w16cid:durableId="1856918722">
    <w:abstractNumId w:val="9"/>
  </w:num>
  <w:num w:numId="14" w16cid:durableId="56779583">
    <w:abstractNumId w:val="24"/>
  </w:num>
  <w:num w:numId="15" w16cid:durableId="412238575">
    <w:abstractNumId w:val="5"/>
  </w:num>
  <w:num w:numId="16" w16cid:durableId="1479565614">
    <w:abstractNumId w:val="29"/>
  </w:num>
  <w:num w:numId="17" w16cid:durableId="1354645883">
    <w:abstractNumId w:val="28"/>
  </w:num>
  <w:num w:numId="18" w16cid:durableId="1537237903">
    <w:abstractNumId w:val="35"/>
  </w:num>
  <w:num w:numId="19" w16cid:durableId="2077392341">
    <w:abstractNumId w:val="3"/>
  </w:num>
  <w:num w:numId="20" w16cid:durableId="1647510251">
    <w:abstractNumId w:val="12"/>
  </w:num>
  <w:num w:numId="21" w16cid:durableId="2078242502">
    <w:abstractNumId w:val="7"/>
  </w:num>
  <w:num w:numId="22" w16cid:durableId="298262589">
    <w:abstractNumId w:val="0"/>
  </w:num>
  <w:num w:numId="23" w16cid:durableId="645202488">
    <w:abstractNumId w:val="26"/>
  </w:num>
  <w:num w:numId="24" w16cid:durableId="1988590249">
    <w:abstractNumId w:val="19"/>
  </w:num>
  <w:num w:numId="25" w16cid:durableId="655692772">
    <w:abstractNumId w:val="30"/>
  </w:num>
  <w:num w:numId="26" w16cid:durableId="23138072">
    <w:abstractNumId w:val="2"/>
  </w:num>
  <w:num w:numId="27" w16cid:durableId="1136487269">
    <w:abstractNumId w:val="17"/>
  </w:num>
  <w:num w:numId="28" w16cid:durableId="27875081">
    <w:abstractNumId w:val="31"/>
  </w:num>
  <w:num w:numId="29" w16cid:durableId="312178206">
    <w:abstractNumId w:val="1"/>
  </w:num>
  <w:num w:numId="30" w16cid:durableId="1336032667">
    <w:abstractNumId w:val="10"/>
  </w:num>
  <w:num w:numId="31" w16cid:durableId="670529664">
    <w:abstractNumId w:val="36"/>
  </w:num>
  <w:num w:numId="32" w16cid:durableId="1578981645">
    <w:abstractNumId w:val="33"/>
  </w:num>
  <w:num w:numId="33" w16cid:durableId="2001883103">
    <w:abstractNumId w:val="21"/>
  </w:num>
  <w:num w:numId="34" w16cid:durableId="1115829872">
    <w:abstractNumId w:val="18"/>
  </w:num>
  <w:num w:numId="35" w16cid:durableId="1954896189">
    <w:abstractNumId w:val="23"/>
  </w:num>
  <w:num w:numId="36" w16cid:durableId="243957199">
    <w:abstractNumId w:val="38"/>
  </w:num>
  <w:num w:numId="37" w16cid:durableId="1712264284">
    <w:abstractNumId w:val="25"/>
  </w:num>
  <w:num w:numId="38" w16cid:durableId="542982006">
    <w:abstractNumId w:val="13"/>
  </w:num>
  <w:num w:numId="39" w16cid:durableId="919172399">
    <w:abstractNumId w:val="34"/>
  </w:num>
  <w:num w:numId="40" w16cid:durableId="675226121">
    <w:abstractNumId w:val="39"/>
  </w:num>
  <w:num w:numId="41" w16cid:durableId="622274179">
    <w:abstractNumId w:val="22"/>
  </w:num>
  <w:num w:numId="42" w16cid:durableId="1791273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D8"/>
    <w:rsid w:val="00001A07"/>
    <w:rsid w:val="00002C8D"/>
    <w:rsid w:val="000035B6"/>
    <w:rsid w:val="00004BB3"/>
    <w:rsid w:val="00007C4C"/>
    <w:rsid w:val="00011422"/>
    <w:rsid w:val="00011E3D"/>
    <w:rsid w:val="00012199"/>
    <w:rsid w:val="00013CE8"/>
    <w:rsid w:val="0002309F"/>
    <w:rsid w:val="000303FD"/>
    <w:rsid w:val="00036B80"/>
    <w:rsid w:val="0004548F"/>
    <w:rsid w:val="000461F5"/>
    <w:rsid w:val="0004682A"/>
    <w:rsid w:val="00050B21"/>
    <w:rsid w:val="00055ECC"/>
    <w:rsid w:val="00057460"/>
    <w:rsid w:val="000601C7"/>
    <w:rsid w:val="000631BD"/>
    <w:rsid w:val="00064F42"/>
    <w:rsid w:val="000713B7"/>
    <w:rsid w:val="00073BC5"/>
    <w:rsid w:val="00074E23"/>
    <w:rsid w:val="00085E0F"/>
    <w:rsid w:val="0008734A"/>
    <w:rsid w:val="00090183"/>
    <w:rsid w:val="0009063D"/>
    <w:rsid w:val="00091B7C"/>
    <w:rsid w:val="000928BC"/>
    <w:rsid w:val="00092E7F"/>
    <w:rsid w:val="00093BA6"/>
    <w:rsid w:val="00097B21"/>
    <w:rsid w:val="000A2E09"/>
    <w:rsid w:val="000A3AA0"/>
    <w:rsid w:val="000A4C4A"/>
    <w:rsid w:val="000B009E"/>
    <w:rsid w:val="000B1866"/>
    <w:rsid w:val="000B1D8E"/>
    <w:rsid w:val="000B3219"/>
    <w:rsid w:val="000B383D"/>
    <w:rsid w:val="000B3B35"/>
    <w:rsid w:val="000B3D18"/>
    <w:rsid w:val="000B492A"/>
    <w:rsid w:val="000B647E"/>
    <w:rsid w:val="000B6FD7"/>
    <w:rsid w:val="000C0080"/>
    <w:rsid w:val="000C09C1"/>
    <w:rsid w:val="000C3C31"/>
    <w:rsid w:val="000C65AF"/>
    <w:rsid w:val="000D0B3A"/>
    <w:rsid w:val="000D3242"/>
    <w:rsid w:val="000E1B3B"/>
    <w:rsid w:val="000E7059"/>
    <w:rsid w:val="00100F36"/>
    <w:rsid w:val="001020C1"/>
    <w:rsid w:val="0010255C"/>
    <w:rsid w:val="0010364B"/>
    <w:rsid w:val="00103D13"/>
    <w:rsid w:val="00105E2D"/>
    <w:rsid w:val="00113F8C"/>
    <w:rsid w:val="00116B1B"/>
    <w:rsid w:val="00126391"/>
    <w:rsid w:val="00127006"/>
    <w:rsid w:val="00131DE6"/>
    <w:rsid w:val="00134630"/>
    <w:rsid w:val="001349F1"/>
    <w:rsid w:val="001354DD"/>
    <w:rsid w:val="00137070"/>
    <w:rsid w:val="001429F8"/>
    <w:rsid w:val="00143505"/>
    <w:rsid w:val="00144181"/>
    <w:rsid w:val="00147C35"/>
    <w:rsid w:val="0015187F"/>
    <w:rsid w:val="001544AA"/>
    <w:rsid w:val="00156AF6"/>
    <w:rsid w:val="00161B80"/>
    <w:rsid w:val="00162FC4"/>
    <w:rsid w:val="00163399"/>
    <w:rsid w:val="00170F4D"/>
    <w:rsid w:val="00171AD9"/>
    <w:rsid w:val="00173470"/>
    <w:rsid w:val="00180CEE"/>
    <w:rsid w:val="00184592"/>
    <w:rsid w:val="00184660"/>
    <w:rsid w:val="00191D71"/>
    <w:rsid w:val="00191F2D"/>
    <w:rsid w:val="0019279B"/>
    <w:rsid w:val="001A3CF8"/>
    <w:rsid w:val="001A69B6"/>
    <w:rsid w:val="001A7112"/>
    <w:rsid w:val="001B0A1B"/>
    <w:rsid w:val="001B294B"/>
    <w:rsid w:val="001B402F"/>
    <w:rsid w:val="001B7C5C"/>
    <w:rsid w:val="001B7E01"/>
    <w:rsid w:val="001C1375"/>
    <w:rsid w:val="001C2C2C"/>
    <w:rsid w:val="001C30AA"/>
    <w:rsid w:val="001D0DE5"/>
    <w:rsid w:val="001D1363"/>
    <w:rsid w:val="001D243E"/>
    <w:rsid w:val="001D2E70"/>
    <w:rsid w:val="001E1A5A"/>
    <w:rsid w:val="001E4E12"/>
    <w:rsid w:val="001E764D"/>
    <w:rsid w:val="001F1087"/>
    <w:rsid w:val="001F139D"/>
    <w:rsid w:val="001F1490"/>
    <w:rsid w:val="001F3F12"/>
    <w:rsid w:val="001F52D8"/>
    <w:rsid w:val="001F7049"/>
    <w:rsid w:val="002023E6"/>
    <w:rsid w:val="002041A6"/>
    <w:rsid w:val="0020563F"/>
    <w:rsid w:val="0020581D"/>
    <w:rsid w:val="00205BDE"/>
    <w:rsid w:val="00207981"/>
    <w:rsid w:val="00212D34"/>
    <w:rsid w:val="00215611"/>
    <w:rsid w:val="002207C4"/>
    <w:rsid w:val="002356E9"/>
    <w:rsid w:val="002358C2"/>
    <w:rsid w:val="002402FB"/>
    <w:rsid w:val="00240666"/>
    <w:rsid w:val="002437BE"/>
    <w:rsid w:val="0024491E"/>
    <w:rsid w:val="00244D09"/>
    <w:rsid w:val="00246D05"/>
    <w:rsid w:val="00252446"/>
    <w:rsid w:val="00253014"/>
    <w:rsid w:val="002530B9"/>
    <w:rsid w:val="0025471B"/>
    <w:rsid w:val="0025694D"/>
    <w:rsid w:val="00271B7A"/>
    <w:rsid w:val="00274FED"/>
    <w:rsid w:val="00277CA3"/>
    <w:rsid w:val="0028308B"/>
    <w:rsid w:val="00285EF3"/>
    <w:rsid w:val="00294F0B"/>
    <w:rsid w:val="0029607E"/>
    <w:rsid w:val="00297A28"/>
    <w:rsid w:val="002A2AA4"/>
    <w:rsid w:val="002A2E7C"/>
    <w:rsid w:val="002A52F0"/>
    <w:rsid w:val="002A5742"/>
    <w:rsid w:val="002A59A3"/>
    <w:rsid w:val="002A7741"/>
    <w:rsid w:val="002B064A"/>
    <w:rsid w:val="002B23E8"/>
    <w:rsid w:val="002B370D"/>
    <w:rsid w:val="002B3F20"/>
    <w:rsid w:val="002B439C"/>
    <w:rsid w:val="002B51A4"/>
    <w:rsid w:val="002B5E64"/>
    <w:rsid w:val="002C26FF"/>
    <w:rsid w:val="002C2B33"/>
    <w:rsid w:val="002C3943"/>
    <w:rsid w:val="002D093A"/>
    <w:rsid w:val="002D1C84"/>
    <w:rsid w:val="002D2CA5"/>
    <w:rsid w:val="002D309F"/>
    <w:rsid w:val="002E2632"/>
    <w:rsid w:val="002E2D1B"/>
    <w:rsid w:val="002E58B7"/>
    <w:rsid w:val="002F050F"/>
    <w:rsid w:val="002F28E3"/>
    <w:rsid w:val="002F6E77"/>
    <w:rsid w:val="002F7ECF"/>
    <w:rsid w:val="00304348"/>
    <w:rsid w:val="003043C8"/>
    <w:rsid w:val="00306B8C"/>
    <w:rsid w:val="00307582"/>
    <w:rsid w:val="00310322"/>
    <w:rsid w:val="00310FD7"/>
    <w:rsid w:val="003121C4"/>
    <w:rsid w:val="00312FEC"/>
    <w:rsid w:val="0031343C"/>
    <w:rsid w:val="00313E33"/>
    <w:rsid w:val="00316217"/>
    <w:rsid w:val="00321325"/>
    <w:rsid w:val="00323A31"/>
    <w:rsid w:val="003266C0"/>
    <w:rsid w:val="003301A8"/>
    <w:rsid w:val="0033028B"/>
    <w:rsid w:val="00331FC7"/>
    <w:rsid w:val="00333A30"/>
    <w:rsid w:val="003345E3"/>
    <w:rsid w:val="00335A2E"/>
    <w:rsid w:val="0034139D"/>
    <w:rsid w:val="00344797"/>
    <w:rsid w:val="00345E66"/>
    <w:rsid w:val="00346975"/>
    <w:rsid w:val="00351CED"/>
    <w:rsid w:val="00361020"/>
    <w:rsid w:val="003717C2"/>
    <w:rsid w:val="0037481A"/>
    <w:rsid w:val="003817CA"/>
    <w:rsid w:val="003851B4"/>
    <w:rsid w:val="003851C5"/>
    <w:rsid w:val="00391C8C"/>
    <w:rsid w:val="0039258A"/>
    <w:rsid w:val="003935E1"/>
    <w:rsid w:val="003962B7"/>
    <w:rsid w:val="003A22C5"/>
    <w:rsid w:val="003A3F52"/>
    <w:rsid w:val="003A4AA9"/>
    <w:rsid w:val="003A5226"/>
    <w:rsid w:val="003A5A9E"/>
    <w:rsid w:val="003B0031"/>
    <w:rsid w:val="003B13B1"/>
    <w:rsid w:val="003B206A"/>
    <w:rsid w:val="003B4E0A"/>
    <w:rsid w:val="003B504F"/>
    <w:rsid w:val="003B709C"/>
    <w:rsid w:val="003C0906"/>
    <w:rsid w:val="003C14A3"/>
    <w:rsid w:val="003C1C3C"/>
    <w:rsid w:val="003C1FFB"/>
    <w:rsid w:val="003C309C"/>
    <w:rsid w:val="003C3351"/>
    <w:rsid w:val="003D046A"/>
    <w:rsid w:val="003D0F41"/>
    <w:rsid w:val="003D11B9"/>
    <w:rsid w:val="003E1F68"/>
    <w:rsid w:val="003E5107"/>
    <w:rsid w:val="003E790C"/>
    <w:rsid w:val="003F7698"/>
    <w:rsid w:val="00407BEB"/>
    <w:rsid w:val="00412CE4"/>
    <w:rsid w:val="00417522"/>
    <w:rsid w:val="00422620"/>
    <w:rsid w:val="00423262"/>
    <w:rsid w:val="00427C63"/>
    <w:rsid w:val="00427ECB"/>
    <w:rsid w:val="004319B3"/>
    <w:rsid w:val="0043271C"/>
    <w:rsid w:val="00432851"/>
    <w:rsid w:val="004338A1"/>
    <w:rsid w:val="00434F61"/>
    <w:rsid w:val="00435EF5"/>
    <w:rsid w:val="0044144A"/>
    <w:rsid w:val="004448B7"/>
    <w:rsid w:val="00447193"/>
    <w:rsid w:val="0044780D"/>
    <w:rsid w:val="00447813"/>
    <w:rsid w:val="00452B45"/>
    <w:rsid w:val="00455708"/>
    <w:rsid w:val="00462669"/>
    <w:rsid w:val="004634BD"/>
    <w:rsid w:val="00465C14"/>
    <w:rsid w:val="00467CD9"/>
    <w:rsid w:val="00467E9B"/>
    <w:rsid w:val="004702C9"/>
    <w:rsid w:val="00472358"/>
    <w:rsid w:val="004748A8"/>
    <w:rsid w:val="00475038"/>
    <w:rsid w:val="00475E26"/>
    <w:rsid w:val="0048113F"/>
    <w:rsid w:val="00483174"/>
    <w:rsid w:val="00487392"/>
    <w:rsid w:val="00493AD5"/>
    <w:rsid w:val="00493F3A"/>
    <w:rsid w:val="00495ADE"/>
    <w:rsid w:val="00496FBA"/>
    <w:rsid w:val="004A27B1"/>
    <w:rsid w:val="004A4CAB"/>
    <w:rsid w:val="004A50F6"/>
    <w:rsid w:val="004A5D37"/>
    <w:rsid w:val="004B290A"/>
    <w:rsid w:val="004B7027"/>
    <w:rsid w:val="004C2848"/>
    <w:rsid w:val="004C37EB"/>
    <w:rsid w:val="004C3B96"/>
    <w:rsid w:val="004C3DC0"/>
    <w:rsid w:val="004C530D"/>
    <w:rsid w:val="004C5E04"/>
    <w:rsid w:val="004D1214"/>
    <w:rsid w:val="004D50C9"/>
    <w:rsid w:val="004E1299"/>
    <w:rsid w:val="004E3708"/>
    <w:rsid w:val="004F0E77"/>
    <w:rsid w:val="004F1CB9"/>
    <w:rsid w:val="004F1DC3"/>
    <w:rsid w:val="004F2306"/>
    <w:rsid w:val="004F2726"/>
    <w:rsid w:val="004F4CAE"/>
    <w:rsid w:val="004F56ED"/>
    <w:rsid w:val="004F58DB"/>
    <w:rsid w:val="00500F9B"/>
    <w:rsid w:val="00502D8A"/>
    <w:rsid w:val="00511515"/>
    <w:rsid w:val="0051173D"/>
    <w:rsid w:val="00513438"/>
    <w:rsid w:val="005161E1"/>
    <w:rsid w:val="005227B5"/>
    <w:rsid w:val="00526EE6"/>
    <w:rsid w:val="00527E14"/>
    <w:rsid w:val="005316B5"/>
    <w:rsid w:val="00533D59"/>
    <w:rsid w:val="0053492C"/>
    <w:rsid w:val="00540480"/>
    <w:rsid w:val="005423D6"/>
    <w:rsid w:val="00542C56"/>
    <w:rsid w:val="00544A20"/>
    <w:rsid w:val="0054648F"/>
    <w:rsid w:val="00546E7B"/>
    <w:rsid w:val="005472A0"/>
    <w:rsid w:val="005529C6"/>
    <w:rsid w:val="00552F02"/>
    <w:rsid w:val="00553F50"/>
    <w:rsid w:val="00554715"/>
    <w:rsid w:val="005571AE"/>
    <w:rsid w:val="005606E6"/>
    <w:rsid w:val="00560C88"/>
    <w:rsid w:val="0056434D"/>
    <w:rsid w:val="005643A0"/>
    <w:rsid w:val="00564B1F"/>
    <w:rsid w:val="00564B8C"/>
    <w:rsid w:val="0056688C"/>
    <w:rsid w:val="00570849"/>
    <w:rsid w:val="00571162"/>
    <w:rsid w:val="005803F4"/>
    <w:rsid w:val="00581C25"/>
    <w:rsid w:val="0058235D"/>
    <w:rsid w:val="00587A4C"/>
    <w:rsid w:val="005903F3"/>
    <w:rsid w:val="00594384"/>
    <w:rsid w:val="00594AD7"/>
    <w:rsid w:val="00594C7C"/>
    <w:rsid w:val="0059535E"/>
    <w:rsid w:val="0059606B"/>
    <w:rsid w:val="00596198"/>
    <w:rsid w:val="005A6684"/>
    <w:rsid w:val="005A7B8A"/>
    <w:rsid w:val="005B079B"/>
    <w:rsid w:val="005B1A62"/>
    <w:rsid w:val="005B1A68"/>
    <w:rsid w:val="005B1AD1"/>
    <w:rsid w:val="005B26EE"/>
    <w:rsid w:val="005B5BE7"/>
    <w:rsid w:val="005B7183"/>
    <w:rsid w:val="005B7300"/>
    <w:rsid w:val="005B7A1F"/>
    <w:rsid w:val="005C0358"/>
    <w:rsid w:val="005C12ED"/>
    <w:rsid w:val="005C14B2"/>
    <w:rsid w:val="005D123F"/>
    <w:rsid w:val="005D13FE"/>
    <w:rsid w:val="005D2026"/>
    <w:rsid w:val="005D240C"/>
    <w:rsid w:val="005D6BD1"/>
    <w:rsid w:val="005E0B3B"/>
    <w:rsid w:val="005E2962"/>
    <w:rsid w:val="005E38B5"/>
    <w:rsid w:val="005E6FFA"/>
    <w:rsid w:val="005E79B0"/>
    <w:rsid w:val="005F346A"/>
    <w:rsid w:val="005F5793"/>
    <w:rsid w:val="00601721"/>
    <w:rsid w:val="0060210F"/>
    <w:rsid w:val="006032DF"/>
    <w:rsid w:val="006035E5"/>
    <w:rsid w:val="0060601E"/>
    <w:rsid w:val="006143C4"/>
    <w:rsid w:val="006159FB"/>
    <w:rsid w:val="00615AB6"/>
    <w:rsid w:val="006163FC"/>
    <w:rsid w:val="006204F0"/>
    <w:rsid w:val="0062137E"/>
    <w:rsid w:val="00625BB6"/>
    <w:rsid w:val="00625D9C"/>
    <w:rsid w:val="00626E60"/>
    <w:rsid w:val="006304A2"/>
    <w:rsid w:val="00634C88"/>
    <w:rsid w:val="00643BA6"/>
    <w:rsid w:val="00644E04"/>
    <w:rsid w:val="00646B79"/>
    <w:rsid w:val="00655F39"/>
    <w:rsid w:val="0065686B"/>
    <w:rsid w:val="00656CC6"/>
    <w:rsid w:val="00657926"/>
    <w:rsid w:val="006622B3"/>
    <w:rsid w:val="00671A76"/>
    <w:rsid w:val="00673F7B"/>
    <w:rsid w:val="006754D9"/>
    <w:rsid w:val="0067618E"/>
    <w:rsid w:val="00681185"/>
    <w:rsid w:val="006813BE"/>
    <w:rsid w:val="00682014"/>
    <w:rsid w:val="00682FE3"/>
    <w:rsid w:val="00687998"/>
    <w:rsid w:val="00691E52"/>
    <w:rsid w:val="0069254B"/>
    <w:rsid w:val="00696AD9"/>
    <w:rsid w:val="006A0615"/>
    <w:rsid w:val="006A1331"/>
    <w:rsid w:val="006A584B"/>
    <w:rsid w:val="006A62F1"/>
    <w:rsid w:val="006B0E10"/>
    <w:rsid w:val="006B23CE"/>
    <w:rsid w:val="006B2979"/>
    <w:rsid w:val="006C11E1"/>
    <w:rsid w:val="006C5E9A"/>
    <w:rsid w:val="006C6D8C"/>
    <w:rsid w:val="006D1477"/>
    <w:rsid w:val="006D1644"/>
    <w:rsid w:val="006D268D"/>
    <w:rsid w:val="006D3943"/>
    <w:rsid w:val="006E0BB8"/>
    <w:rsid w:val="006E15EC"/>
    <w:rsid w:val="006E1F27"/>
    <w:rsid w:val="006E71C8"/>
    <w:rsid w:val="006F16A2"/>
    <w:rsid w:val="006F27F2"/>
    <w:rsid w:val="006F4E42"/>
    <w:rsid w:val="006F5533"/>
    <w:rsid w:val="00701A64"/>
    <w:rsid w:val="0070264F"/>
    <w:rsid w:val="007043A7"/>
    <w:rsid w:val="007112CF"/>
    <w:rsid w:val="00712407"/>
    <w:rsid w:val="00714A13"/>
    <w:rsid w:val="007152ED"/>
    <w:rsid w:val="00717A10"/>
    <w:rsid w:val="00722BEC"/>
    <w:rsid w:val="007231B5"/>
    <w:rsid w:val="00724C34"/>
    <w:rsid w:val="007251B9"/>
    <w:rsid w:val="0072684D"/>
    <w:rsid w:val="007314CB"/>
    <w:rsid w:val="007321B5"/>
    <w:rsid w:val="0073310E"/>
    <w:rsid w:val="00734F7C"/>
    <w:rsid w:val="007363D0"/>
    <w:rsid w:val="00737367"/>
    <w:rsid w:val="00740190"/>
    <w:rsid w:val="00740593"/>
    <w:rsid w:val="00741430"/>
    <w:rsid w:val="00747217"/>
    <w:rsid w:val="00750996"/>
    <w:rsid w:val="00752529"/>
    <w:rsid w:val="00754E89"/>
    <w:rsid w:val="0075516B"/>
    <w:rsid w:val="007561D5"/>
    <w:rsid w:val="00761B4D"/>
    <w:rsid w:val="00766E0E"/>
    <w:rsid w:val="007713D9"/>
    <w:rsid w:val="007731B7"/>
    <w:rsid w:val="00773A26"/>
    <w:rsid w:val="00776F6E"/>
    <w:rsid w:val="00787977"/>
    <w:rsid w:val="007906F5"/>
    <w:rsid w:val="0079094C"/>
    <w:rsid w:val="007944D5"/>
    <w:rsid w:val="00794D14"/>
    <w:rsid w:val="007A030C"/>
    <w:rsid w:val="007A3091"/>
    <w:rsid w:val="007A5798"/>
    <w:rsid w:val="007B2E67"/>
    <w:rsid w:val="007B37DC"/>
    <w:rsid w:val="007B417F"/>
    <w:rsid w:val="007B7F4F"/>
    <w:rsid w:val="007C126A"/>
    <w:rsid w:val="007C32AC"/>
    <w:rsid w:val="007C4861"/>
    <w:rsid w:val="007C77F4"/>
    <w:rsid w:val="007D07FC"/>
    <w:rsid w:val="007D3B04"/>
    <w:rsid w:val="007E0A86"/>
    <w:rsid w:val="007F1BA0"/>
    <w:rsid w:val="007F469E"/>
    <w:rsid w:val="007F5C66"/>
    <w:rsid w:val="007F5F7B"/>
    <w:rsid w:val="00800609"/>
    <w:rsid w:val="0080131C"/>
    <w:rsid w:val="00802CD1"/>
    <w:rsid w:val="0081331D"/>
    <w:rsid w:val="008138CE"/>
    <w:rsid w:val="00813EA5"/>
    <w:rsid w:val="00816D7B"/>
    <w:rsid w:val="00817CA7"/>
    <w:rsid w:val="00821F8F"/>
    <w:rsid w:val="00826780"/>
    <w:rsid w:val="00827C40"/>
    <w:rsid w:val="008332DC"/>
    <w:rsid w:val="008339B2"/>
    <w:rsid w:val="00834CB8"/>
    <w:rsid w:val="00841E43"/>
    <w:rsid w:val="00842FB8"/>
    <w:rsid w:val="008451FF"/>
    <w:rsid w:val="00846824"/>
    <w:rsid w:val="0084721F"/>
    <w:rsid w:val="00847935"/>
    <w:rsid w:val="0085505B"/>
    <w:rsid w:val="008557E9"/>
    <w:rsid w:val="008578D4"/>
    <w:rsid w:val="008602F9"/>
    <w:rsid w:val="00861F19"/>
    <w:rsid w:val="008636C3"/>
    <w:rsid w:val="0086433B"/>
    <w:rsid w:val="00864C9F"/>
    <w:rsid w:val="008721AD"/>
    <w:rsid w:val="00873B81"/>
    <w:rsid w:val="00875A30"/>
    <w:rsid w:val="00877E9D"/>
    <w:rsid w:val="00880111"/>
    <w:rsid w:val="00880C76"/>
    <w:rsid w:val="00880EE0"/>
    <w:rsid w:val="00884474"/>
    <w:rsid w:val="00884A2E"/>
    <w:rsid w:val="0088688C"/>
    <w:rsid w:val="00887F2E"/>
    <w:rsid w:val="00890345"/>
    <w:rsid w:val="00893362"/>
    <w:rsid w:val="008949BE"/>
    <w:rsid w:val="008954C6"/>
    <w:rsid w:val="008A0858"/>
    <w:rsid w:val="008A1AAA"/>
    <w:rsid w:val="008A1E9B"/>
    <w:rsid w:val="008A2AC0"/>
    <w:rsid w:val="008A7B1B"/>
    <w:rsid w:val="008B08D0"/>
    <w:rsid w:val="008B10B1"/>
    <w:rsid w:val="008C2D61"/>
    <w:rsid w:val="008C338D"/>
    <w:rsid w:val="008C369E"/>
    <w:rsid w:val="008C761C"/>
    <w:rsid w:val="008D091A"/>
    <w:rsid w:val="008D1950"/>
    <w:rsid w:val="008D2056"/>
    <w:rsid w:val="008D37D0"/>
    <w:rsid w:val="008E035E"/>
    <w:rsid w:val="008E1892"/>
    <w:rsid w:val="008E57AE"/>
    <w:rsid w:val="008F01B7"/>
    <w:rsid w:val="008F1095"/>
    <w:rsid w:val="008F602D"/>
    <w:rsid w:val="008F6E34"/>
    <w:rsid w:val="009005B3"/>
    <w:rsid w:val="00900D03"/>
    <w:rsid w:val="00906F5C"/>
    <w:rsid w:val="0090727B"/>
    <w:rsid w:val="0091118D"/>
    <w:rsid w:val="00911EB2"/>
    <w:rsid w:val="00911F27"/>
    <w:rsid w:val="00913935"/>
    <w:rsid w:val="0091448D"/>
    <w:rsid w:val="00916992"/>
    <w:rsid w:val="0092293A"/>
    <w:rsid w:val="009235DB"/>
    <w:rsid w:val="009258CA"/>
    <w:rsid w:val="00926038"/>
    <w:rsid w:val="009265AE"/>
    <w:rsid w:val="00931F1F"/>
    <w:rsid w:val="00936C9A"/>
    <w:rsid w:val="00937261"/>
    <w:rsid w:val="00940220"/>
    <w:rsid w:val="00940FE2"/>
    <w:rsid w:val="0094559A"/>
    <w:rsid w:val="00953B6B"/>
    <w:rsid w:val="009553B4"/>
    <w:rsid w:val="009559E7"/>
    <w:rsid w:val="009601D6"/>
    <w:rsid w:val="00960AD8"/>
    <w:rsid w:val="009722C8"/>
    <w:rsid w:val="00972D57"/>
    <w:rsid w:val="00980EE3"/>
    <w:rsid w:val="00983CBB"/>
    <w:rsid w:val="00986EDF"/>
    <w:rsid w:val="0099035C"/>
    <w:rsid w:val="009A2661"/>
    <w:rsid w:val="009A349C"/>
    <w:rsid w:val="009A3C76"/>
    <w:rsid w:val="009A75D7"/>
    <w:rsid w:val="009B1574"/>
    <w:rsid w:val="009B28D3"/>
    <w:rsid w:val="009B3770"/>
    <w:rsid w:val="009B6D44"/>
    <w:rsid w:val="009B74F5"/>
    <w:rsid w:val="009C3091"/>
    <w:rsid w:val="009C36B1"/>
    <w:rsid w:val="009C3E38"/>
    <w:rsid w:val="009C4865"/>
    <w:rsid w:val="009C54B1"/>
    <w:rsid w:val="009D443B"/>
    <w:rsid w:val="009D62EF"/>
    <w:rsid w:val="009D7E61"/>
    <w:rsid w:val="009E312C"/>
    <w:rsid w:val="009E3916"/>
    <w:rsid w:val="009E4728"/>
    <w:rsid w:val="009E6B25"/>
    <w:rsid w:val="009E6DBB"/>
    <w:rsid w:val="009F71A1"/>
    <w:rsid w:val="00A00324"/>
    <w:rsid w:val="00A006AD"/>
    <w:rsid w:val="00A01179"/>
    <w:rsid w:val="00A01FD1"/>
    <w:rsid w:val="00A028BE"/>
    <w:rsid w:val="00A03F32"/>
    <w:rsid w:val="00A04A20"/>
    <w:rsid w:val="00A07ADA"/>
    <w:rsid w:val="00A117C2"/>
    <w:rsid w:val="00A13F18"/>
    <w:rsid w:val="00A17F60"/>
    <w:rsid w:val="00A20EB1"/>
    <w:rsid w:val="00A2253F"/>
    <w:rsid w:val="00A25673"/>
    <w:rsid w:val="00A26554"/>
    <w:rsid w:val="00A275D9"/>
    <w:rsid w:val="00A2768C"/>
    <w:rsid w:val="00A276E8"/>
    <w:rsid w:val="00A317C4"/>
    <w:rsid w:val="00A42440"/>
    <w:rsid w:val="00A43CE6"/>
    <w:rsid w:val="00A44A1F"/>
    <w:rsid w:val="00A45148"/>
    <w:rsid w:val="00A45DCB"/>
    <w:rsid w:val="00A528A8"/>
    <w:rsid w:val="00A52B2D"/>
    <w:rsid w:val="00A52D56"/>
    <w:rsid w:val="00A55A35"/>
    <w:rsid w:val="00A560E5"/>
    <w:rsid w:val="00A56F75"/>
    <w:rsid w:val="00A639A0"/>
    <w:rsid w:val="00A6401F"/>
    <w:rsid w:val="00A702C8"/>
    <w:rsid w:val="00A744DA"/>
    <w:rsid w:val="00A750DF"/>
    <w:rsid w:val="00A762A5"/>
    <w:rsid w:val="00A815D1"/>
    <w:rsid w:val="00A83718"/>
    <w:rsid w:val="00A83B6E"/>
    <w:rsid w:val="00A84D35"/>
    <w:rsid w:val="00A872D1"/>
    <w:rsid w:val="00A914F2"/>
    <w:rsid w:val="00A91B3F"/>
    <w:rsid w:val="00A94FA2"/>
    <w:rsid w:val="00AA1A56"/>
    <w:rsid w:val="00AA2099"/>
    <w:rsid w:val="00AA6484"/>
    <w:rsid w:val="00AA6D60"/>
    <w:rsid w:val="00AA7C4A"/>
    <w:rsid w:val="00AB078B"/>
    <w:rsid w:val="00AB1D2C"/>
    <w:rsid w:val="00AB7402"/>
    <w:rsid w:val="00AB75A5"/>
    <w:rsid w:val="00AC0EF0"/>
    <w:rsid w:val="00AC12C3"/>
    <w:rsid w:val="00AC1B8F"/>
    <w:rsid w:val="00AC2561"/>
    <w:rsid w:val="00AC2832"/>
    <w:rsid w:val="00AC4B45"/>
    <w:rsid w:val="00AC6660"/>
    <w:rsid w:val="00AC727A"/>
    <w:rsid w:val="00AD06C2"/>
    <w:rsid w:val="00AD1A18"/>
    <w:rsid w:val="00AD23EA"/>
    <w:rsid w:val="00AD2873"/>
    <w:rsid w:val="00AD6790"/>
    <w:rsid w:val="00AD6E1C"/>
    <w:rsid w:val="00AE1530"/>
    <w:rsid w:val="00AE1D4B"/>
    <w:rsid w:val="00AE26B4"/>
    <w:rsid w:val="00AE2FF0"/>
    <w:rsid w:val="00AE4157"/>
    <w:rsid w:val="00AE42AA"/>
    <w:rsid w:val="00AE43AC"/>
    <w:rsid w:val="00AE4F43"/>
    <w:rsid w:val="00AE51D7"/>
    <w:rsid w:val="00AE68F5"/>
    <w:rsid w:val="00AF0CEF"/>
    <w:rsid w:val="00B02345"/>
    <w:rsid w:val="00B02F80"/>
    <w:rsid w:val="00B03002"/>
    <w:rsid w:val="00B0464B"/>
    <w:rsid w:val="00B0542D"/>
    <w:rsid w:val="00B06856"/>
    <w:rsid w:val="00B07C31"/>
    <w:rsid w:val="00B106C2"/>
    <w:rsid w:val="00B12477"/>
    <w:rsid w:val="00B136D0"/>
    <w:rsid w:val="00B13BB4"/>
    <w:rsid w:val="00B15A79"/>
    <w:rsid w:val="00B15CE9"/>
    <w:rsid w:val="00B17123"/>
    <w:rsid w:val="00B1769B"/>
    <w:rsid w:val="00B20661"/>
    <w:rsid w:val="00B250C6"/>
    <w:rsid w:val="00B261AD"/>
    <w:rsid w:val="00B27C3C"/>
    <w:rsid w:val="00B30375"/>
    <w:rsid w:val="00B32774"/>
    <w:rsid w:val="00B33B00"/>
    <w:rsid w:val="00B352B7"/>
    <w:rsid w:val="00B426AA"/>
    <w:rsid w:val="00B44A53"/>
    <w:rsid w:val="00B44A9C"/>
    <w:rsid w:val="00B45C16"/>
    <w:rsid w:val="00B469BB"/>
    <w:rsid w:val="00B53789"/>
    <w:rsid w:val="00B54212"/>
    <w:rsid w:val="00B6368C"/>
    <w:rsid w:val="00B65A2C"/>
    <w:rsid w:val="00B67D58"/>
    <w:rsid w:val="00B723AF"/>
    <w:rsid w:val="00B73F5D"/>
    <w:rsid w:val="00B810CA"/>
    <w:rsid w:val="00B81499"/>
    <w:rsid w:val="00B82F76"/>
    <w:rsid w:val="00B858F9"/>
    <w:rsid w:val="00B86E9F"/>
    <w:rsid w:val="00B905F7"/>
    <w:rsid w:val="00B94103"/>
    <w:rsid w:val="00B94A84"/>
    <w:rsid w:val="00B9530F"/>
    <w:rsid w:val="00B95C42"/>
    <w:rsid w:val="00BA0AA9"/>
    <w:rsid w:val="00BA18AC"/>
    <w:rsid w:val="00BA30F5"/>
    <w:rsid w:val="00BA57F1"/>
    <w:rsid w:val="00BB2112"/>
    <w:rsid w:val="00BB2C35"/>
    <w:rsid w:val="00BC0591"/>
    <w:rsid w:val="00BC1CB4"/>
    <w:rsid w:val="00BC21CD"/>
    <w:rsid w:val="00BC2287"/>
    <w:rsid w:val="00BC4586"/>
    <w:rsid w:val="00BC54EF"/>
    <w:rsid w:val="00BC69DC"/>
    <w:rsid w:val="00BE121B"/>
    <w:rsid w:val="00BE4320"/>
    <w:rsid w:val="00BE478F"/>
    <w:rsid w:val="00BE665C"/>
    <w:rsid w:val="00BF40C0"/>
    <w:rsid w:val="00C010EA"/>
    <w:rsid w:val="00C05F49"/>
    <w:rsid w:val="00C0648F"/>
    <w:rsid w:val="00C06FCA"/>
    <w:rsid w:val="00C108D0"/>
    <w:rsid w:val="00C128F9"/>
    <w:rsid w:val="00C135E2"/>
    <w:rsid w:val="00C13FFB"/>
    <w:rsid w:val="00C202C8"/>
    <w:rsid w:val="00C208CD"/>
    <w:rsid w:val="00C20AD6"/>
    <w:rsid w:val="00C20EF1"/>
    <w:rsid w:val="00C20FFA"/>
    <w:rsid w:val="00C22626"/>
    <w:rsid w:val="00C232E8"/>
    <w:rsid w:val="00C256D9"/>
    <w:rsid w:val="00C26A8D"/>
    <w:rsid w:val="00C275AE"/>
    <w:rsid w:val="00C277B9"/>
    <w:rsid w:val="00C27AA7"/>
    <w:rsid w:val="00C32FFA"/>
    <w:rsid w:val="00C35BC3"/>
    <w:rsid w:val="00C36CA6"/>
    <w:rsid w:val="00C36D64"/>
    <w:rsid w:val="00C4109C"/>
    <w:rsid w:val="00C509CA"/>
    <w:rsid w:val="00C619BC"/>
    <w:rsid w:val="00C64172"/>
    <w:rsid w:val="00C65289"/>
    <w:rsid w:val="00C652A3"/>
    <w:rsid w:val="00C6545C"/>
    <w:rsid w:val="00C67857"/>
    <w:rsid w:val="00C70465"/>
    <w:rsid w:val="00C70A98"/>
    <w:rsid w:val="00C71E7B"/>
    <w:rsid w:val="00C73524"/>
    <w:rsid w:val="00C76561"/>
    <w:rsid w:val="00C80CF5"/>
    <w:rsid w:val="00C813F3"/>
    <w:rsid w:val="00C90BD7"/>
    <w:rsid w:val="00C92470"/>
    <w:rsid w:val="00C9359A"/>
    <w:rsid w:val="00C936B0"/>
    <w:rsid w:val="00C9404C"/>
    <w:rsid w:val="00C947C5"/>
    <w:rsid w:val="00C948C2"/>
    <w:rsid w:val="00CA0537"/>
    <w:rsid w:val="00CA405B"/>
    <w:rsid w:val="00CA4E61"/>
    <w:rsid w:val="00CB1910"/>
    <w:rsid w:val="00CB44C2"/>
    <w:rsid w:val="00CB46DC"/>
    <w:rsid w:val="00CC10B4"/>
    <w:rsid w:val="00CC184D"/>
    <w:rsid w:val="00CC1EAF"/>
    <w:rsid w:val="00CC4264"/>
    <w:rsid w:val="00CC45E0"/>
    <w:rsid w:val="00CC4BFB"/>
    <w:rsid w:val="00CC4E90"/>
    <w:rsid w:val="00CC4F9C"/>
    <w:rsid w:val="00CD0117"/>
    <w:rsid w:val="00CD07A5"/>
    <w:rsid w:val="00CD0C6C"/>
    <w:rsid w:val="00CD0F06"/>
    <w:rsid w:val="00CD4037"/>
    <w:rsid w:val="00CD5B3B"/>
    <w:rsid w:val="00CE1340"/>
    <w:rsid w:val="00CE260E"/>
    <w:rsid w:val="00CE3926"/>
    <w:rsid w:val="00CE5C37"/>
    <w:rsid w:val="00CF1EDD"/>
    <w:rsid w:val="00CF3501"/>
    <w:rsid w:val="00CF694A"/>
    <w:rsid w:val="00D046EE"/>
    <w:rsid w:val="00D04CE8"/>
    <w:rsid w:val="00D06702"/>
    <w:rsid w:val="00D06E9C"/>
    <w:rsid w:val="00D072EA"/>
    <w:rsid w:val="00D15F78"/>
    <w:rsid w:val="00D16C1D"/>
    <w:rsid w:val="00D16DFB"/>
    <w:rsid w:val="00D20F76"/>
    <w:rsid w:val="00D21932"/>
    <w:rsid w:val="00D3246C"/>
    <w:rsid w:val="00D37780"/>
    <w:rsid w:val="00D41B41"/>
    <w:rsid w:val="00D429B1"/>
    <w:rsid w:val="00D42E0F"/>
    <w:rsid w:val="00D43D3E"/>
    <w:rsid w:val="00D44E72"/>
    <w:rsid w:val="00D45CFC"/>
    <w:rsid w:val="00D50BC5"/>
    <w:rsid w:val="00D50E5E"/>
    <w:rsid w:val="00D51F2B"/>
    <w:rsid w:val="00D56045"/>
    <w:rsid w:val="00D57358"/>
    <w:rsid w:val="00D60651"/>
    <w:rsid w:val="00D60E38"/>
    <w:rsid w:val="00D61077"/>
    <w:rsid w:val="00D64BB4"/>
    <w:rsid w:val="00D65D18"/>
    <w:rsid w:val="00D67597"/>
    <w:rsid w:val="00D74879"/>
    <w:rsid w:val="00D74CB2"/>
    <w:rsid w:val="00D813A6"/>
    <w:rsid w:val="00D83A3F"/>
    <w:rsid w:val="00D8609C"/>
    <w:rsid w:val="00D90552"/>
    <w:rsid w:val="00D90799"/>
    <w:rsid w:val="00D9356F"/>
    <w:rsid w:val="00D942EE"/>
    <w:rsid w:val="00D955B5"/>
    <w:rsid w:val="00D9594C"/>
    <w:rsid w:val="00D9646A"/>
    <w:rsid w:val="00DA0F9E"/>
    <w:rsid w:val="00DA193E"/>
    <w:rsid w:val="00DA1DC0"/>
    <w:rsid w:val="00DA5343"/>
    <w:rsid w:val="00DA6B5B"/>
    <w:rsid w:val="00DB0113"/>
    <w:rsid w:val="00DB7C89"/>
    <w:rsid w:val="00DC12A4"/>
    <w:rsid w:val="00DC13D3"/>
    <w:rsid w:val="00DC2037"/>
    <w:rsid w:val="00DC34A0"/>
    <w:rsid w:val="00DC38F8"/>
    <w:rsid w:val="00DC3BB3"/>
    <w:rsid w:val="00DC4934"/>
    <w:rsid w:val="00DC55DF"/>
    <w:rsid w:val="00DC7C93"/>
    <w:rsid w:val="00DD246D"/>
    <w:rsid w:val="00DD498A"/>
    <w:rsid w:val="00DD55A5"/>
    <w:rsid w:val="00DD57A1"/>
    <w:rsid w:val="00DE0976"/>
    <w:rsid w:val="00DE3B4C"/>
    <w:rsid w:val="00DE485D"/>
    <w:rsid w:val="00DE5DD0"/>
    <w:rsid w:val="00DF5C85"/>
    <w:rsid w:val="00DF6F10"/>
    <w:rsid w:val="00E01F04"/>
    <w:rsid w:val="00E02413"/>
    <w:rsid w:val="00E05AAD"/>
    <w:rsid w:val="00E065FC"/>
    <w:rsid w:val="00E06ABC"/>
    <w:rsid w:val="00E06FA0"/>
    <w:rsid w:val="00E06FF3"/>
    <w:rsid w:val="00E120AD"/>
    <w:rsid w:val="00E20945"/>
    <w:rsid w:val="00E22A13"/>
    <w:rsid w:val="00E239F2"/>
    <w:rsid w:val="00E23CF2"/>
    <w:rsid w:val="00E24B90"/>
    <w:rsid w:val="00E25110"/>
    <w:rsid w:val="00E25569"/>
    <w:rsid w:val="00E2607C"/>
    <w:rsid w:val="00E26CB5"/>
    <w:rsid w:val="00E275E3"/>
    <w:rsid w:val="00E277DB"/>
    <w:rsid w:val="00E27C17"/>
    <w:rsid w:val="00E30B28"/>
    <w:rsid w:val="00E3177F"/>
    <w:rsid w:val="00E327A4"/>
    <w:rsid w:val="00E366E9"/>
    <w:rsid w:val="00E453B7"/>
    <w:rsid w:val="00E477B7"/>
    <w:rsid w:val="00E50DFC"/>
    <w:rsid w:val="00E5320E"/>
    <w:rsid w:val="00E541A9"/>
    <w:rsid w:val="00E54CF7"/>
    <w:rsid w:val="00E556A5"/>
    <w:rsid w:val="00E562FC"/>
    <w:rsid w:val="00E568E2"/>
    <w:rsid w:val="00E56C0C"/>
    <w:rsid w:val="00E57A8C"/>
    <w:rsid w:val="00E615C2"/>
    <w:rsid w:val="00E63D7D"/>
    <w:rsid w:val="00E730B3"/>
    <w:rsid w:val="00E76242"/>
    <w:rsid w:val="00E77CE2"/>
    <w:rsid w:val="00E821E3"/>
    <w:rsid w:val="00E8320F"/>
    <w:rsid w:val="00E851BD"/>
    <w:rsid w:val="00E85742"/>
    <w:rsid w:val="00EA1A43"/>
    <w:rsid w:val="00EA66DC"/>
    <w:rsid w:val="00EA7F27"/>
    <w:rsid w:val="00EB2A9B"/>
    <w:rsid w:val="00EB4A38"/>
    <w:rsid w:val="00ED1025"/>
    <w:rsid w:val="00ED25DB"/>
    <w:rsid w:val="00ED4FF2"/>
    <w:rsid w:val="00ED741E"/>
    <w:rsid w:val="00EE129F"/>
    <w:rsid w:val="00EE2841"/>
    <w:rsid w:val="00EE2D41"/>
    <w:rsid w:val="00EE5271"/>
    <w:rsid w:val="00EF00DD"/>
    <w:rsid w:val="00EF1C7F"/>
    <w:rsid w:val="00EF2188"/>
    <w:rsid w:val="00EF4DF7"/>
    <w:rsid w:val="00EF7765"/>
    <w:rsid w:val="00F05AEC"/>
    <w:rsid w:val="00F06630"/>
    <w:rsid w:val="00F06F8E"/>
    <w:rsid w:val="00F12275"/>
    <w:rsid w:val="00F12D70"/>
    <w:rsid w:val="00F15BE2"/>
    <w:rsid w:val="00F163B9"/>
    <w:rsid w:val="00F20767"/>
    <w:rsid w:val="00F24B2F"/>
    <w:rsid w:val="00F2534F"/>
    <w:rsid w:val="00F2591D"/>
    <w:rsid w:val="00F26D86"/>
    <w:rsid w:val="00F349D5"/>
    <w:rsid w:val="00F36AB5"/>
    <w:rsid w:val="00F374BE"/>
    <w:rsid w:val="00F40C7B"/>
    <w:rsid w:val="00F42F79"/>
    <w:rsid w:val="00F43521"/>
    <w:rsid w:val="00F45342"/>
    <w:rsid w:val="00F4556D"/>
    <w:rsid w:val="00F46F13"/>
    <w:rsid w:val="00F46FB5"/>
    <w:rsid w:val="00F4774E"/>
    <w:rsid w:val="00F5161E"/>
    <w:rsid w:val="00F519A5"/>
    <w:rsid w:val="00F51A72"/>
    <w:rsid w:val="00F54FB3"/>
    <w:rsid w:val="00F5722A"/>
    <w:rsid w:val="00F669B7"/>
    <w:rsid w:val="00F66CA1"/>
    <w:rsid w:val="00F67F09"/>
    <w:rsid w:val="00F70F53"/>
    <w:rsid w:val="00F71807"/>
    <w:rsid w:val="00F81D9A"/>
    <w:rsid w:val="00F82518"/>
    <w:rsid w:val="00F8427F"/>
    <w:rsid w:val="00F84802"/>
    <w:rsid w:val="00F85D9E"/>
    <w:rsid w:val="00F94D2A"/>
    <w:rsid w:val="00FA17A5"/>
    <w:rsid w:val="00FA2731"/>
    <w:rsid w:val="00FA57A2"/>
    <w:rsid w:val="00FA69BF"/>
    <w:rsid w:val="00FB1D04"/>
    <w:rsid w:val="00FB6D27"/>
    <w:rsid w:val="00FC036D"/>
    <w:rsid w:val="00FC111B"/>
    <w:rsid w:val="00FC4284"/>
    <w:rsid w:val="00FC54CA"/>
    <w:rsid w:val="00FC5DF3"/>
    <w:rsid w:val="00FC72FD"/>
    <w:rsid w:val="00FD03DE"/>
    <w:rsid w:val="00FE0AB0"/>
    <w:rsid w:val="00FE15CE"/>
    <w:rsid w:val="00FE2F2C"/>
    <w:rsid w:val="00FE357A"/>
    <w:rsid w:val="00FE402F"/>
    <w:rsid w:val="00FF1AB5"/>
    <w:rsid w:val="00FF300E"/>
    <w:rsid w:val="00FF3A4E"/>
    <w:rsid w:val="00FF40EC"/>
    <w:rsid w:val="00FF5F61"/>
    <w:rsid w:val="00FF6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3F07C"/>
  <w15:docId w15:val="{980DE195-8E1A-4E91-81DE-515ABB2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semiHidden/>
    <w:unhideWhenUsed/>
    <w:qFormat/>
    <w:locked/>
    <w:rsid w:val="00FE0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rsid w:val="00B73F5D"/>
    <w:pPr>
      <w:ind w:left="720"/>
    </w:pPr>
  </w:style>
  <w:style w:type="character" w:customStyle="1" w:styleId="Heading3Char">
    <w:name w:val="Heading 3 Char"/>
    <w:basedOn w:val="DefaultParagraphFont"/>
    <w:link w:val="Heading3"/>
    <w:semiHidden/>
    <w:rsid w:val="00FE0AB0"/>
    <w:rPr>
      <w:rFonts w:asciiTheme="majorHAnsi" w:eastAsiaTheme="majorEastAsia" w:hAnsiTheme="majorHAnsi" w:cstheme="majorBidi"/>
      <w:b/>
      <w:bCs/>
      <w:color w:val="4F81BD" w:themeColor="accent1"/>
      <w:sz w:val="22"/>
      <w:szCs w:val="22"/>
      <w:lang w:val="en-US" w:eastAsia="en-US"/>
    </w:rPr>
  </w:style>
  <w:style w:type="table" w:customStyle="1" w:styleId="TableGrid11">
    <w:name w:val="Table Grid11"/>
    <w:basedOn w:val="TableNormal"/>
    <w:uiPriority w:val="59"/>
    <w:rsid w:val="00B67D5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6">
    <w:name w:val="l6"/>
    <w:basedOn w:val="DefaultParagraphFont"/>
    <w:rsid w:val="00B07C31"/>
  </w:style>
  <w:style w:type="table" w:customStyle="1" w:styleId="TableGrid1">
    <w:name w:val="Table Grid1"/>
    <w:basedOn w:val="TableNormal"/>
    <w:next w:val="TableGrid"/>
    <w:rsid w:val="00147C3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250C6"/>
    <w:rPr>
      <w:sz w:val="16"/>
      <w:szCs w:val="16"/>
    </w:rPr>
  </w:style>
  <w:style w:type="paragraph" w:styleId="CommentText">
    <w:name w:val="annotation text"/>
    <w:basedOn w:val="Normal"/>
    <w:link w:val="CommentTextChar"/>
    <w:uiPriority w:val="99"/>
    <w:unhideWhenUsed/>
    <w:rsid w:val="00B250C6"/>
    <w:pPr>
      <w:spacing w:line="240" w:lineRule="auto"/>
    </w:pPr>
    <w:rPr>
      <w:sz w:val="20"/>
      <w:szCs w:val="20"/>
    </w:rPr>
  </w:style>
  <w:style w:type="character" w:customStyle="1" w:styleId="CommentTextChar">
    <w:name w:val="Comment Text Char"/>
    <w:basedOn w:val="DefaultParagraphFont"/>
    <w:link w:val="CommentText"/>
    <w:uiPriority w:val="99"/>
    <w:rsid w:val="00B250C6"/>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B250C6"/>
    <w:rPr>
      <w:b/>
      <w:bCs/>
    </w:rPr>
  </w:style>
  <w:style w:type="character" w:customStyle="1" w:styleId="CommentSubjectChar">
    <w:name w:val="Comment Subject Char"/>
    <w:basedOn w:val="CommentTextChar"/>
    <w:link w:val="CommentSubject"/>
    <w:uiPriority w:val="99"/>
    <w:semiHidden/>
    <w:rsid w:val="00B250C6"/>
    <w:rPr>
      <w:rFonts w:ascii="Trebuchet MS" w:hAnsi="Trebuchet MS" w:cs="Trebuchet MS"/>
      <w:b/>
      <w:bCs/>
      <w:lang w:val="en-US" w:eastAsia="en-US"/>
    </w:rPr>
  </w:style>
  <w:style w:type="character" w:customStyle="1" w:styleId="Fontdeparagrafimplicit1">
    <w:name w:val="Font de paragraf implicit1"/>
    <w:rsid w:val="00ED741E"/>
  </w:style>
  <w:style w:type="character" w:styleId="Hyperlink">
    <w:name w:val="Hyperlink"/>
    <w:uiPriority w:val="99"/>
    <w:rsid w:val="00ED741E"/>
    <w:rPr>
      <w:b/>
      <w:bCs/>
      <w:color w:val="333399"/>
      <w:u w:val="single"/>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basedOn w:val="DefaultParagraphFont"/>
    <w:link w:val="ListParagraph"/>
    <w:uiPriority w:val="34"/>
    <w:rsid w:val="00CE1340"/>
    <w:rPr>
      <w:rFonts w:ascii="Trebuchet MS" w:hAnsi="Trebuchet MS" w:cs="Trebuchet MS"/>
      <w:sz w:val="22"/>
      <w:szCs w:val="22"/>
      <w:lang w:val="en-US" w:eastAsia="en-US"/>
    </w:rPr>
  </w:style>
  <w:style w:type="paragraph" w:customStyle="1" w:styleId="Style10">
    <w:name w:val="Style10"/>
    <w:basedOn w:val="Normal"/>
    <w:uiPriority w:val="99"/>
    <w:rsid w:val="00CE1340"/>
    <w:pPr>
      <w:widowControl w:val="0"/>
      <w:autoSpaceDE w:val="0"/>
      <w:autoSpaceDN w:val="0"/>
      <w:adjustRightInd w:val="0"/>
      <w:spacing w:after="0" w:line="252" w:lineRule="exact"/>
      <w:ind w:left="0" w:hanging="677"/>
      <w:jc w:val="left"/>
    </w:pPr>
    <w:rPr>
      <w:rFonts w:ascii="Times New Roman" w:eastAsia="Times New Roman" w:hAnsi="Times New Roman" w:cs="Times New Roman"/>
      <w:sz w:val="24"/>
      <w:szCs w:val="24"/>
      <w:lang w:val="ro-RO" w:eastAsia="ro-RO"/>
    </w:rPr>
  </w:style>
  <w:style w:type="paragraph" w:styleId="Revision">
    <w:name w:val="Revision"/>
    <w:hidden/>
    <w:uiPriority w:val="99"/>
    <w:semiHidden/>
    <w:rsid w:val="00B426AA"/>
    <w:rPr>
      <w:rFonts w:ascii="Trebuchet MS" w:hAnsi="Trebuchet MS" w:cs="Trebuchet MS"/>
      <w:sz w:val="22"/>
      <w:szCs w:val="22"/>
      <w:lang w:val="en-US" w:eastAsia="en-US"/>
    </w:rPr>
  </w:style>
  <w:style w:type="paragraph" w:styleId="FootnoteText">
    <w:name w:val="footnote text"/>
    <w:basedOn w:val="Normal"/>
    <w:link w:val="FootnoteTextChar"/>
    <w:uiPriority w:val="99"/>
    <w:unhideWhenUsed/>
    <w:rsid w:val="00B426AA"/>
    <w:pPr>
      <w:spacing w:after="0" w:line="240" w:lineRule="auto"/>
    </w:pPr>
    <w:rPr>
      <w:sz w:val="20"/>
      <w:szCs w:val="20"/>
    </w:rPr>
  </w:style>
  <w:style w:type="character" w:customStyle="1" w:styleId="FootnoteTextChar">
    <w:name w:val="Footnote Text Char"/>
    <w:basedOn w:val="DefaultParagraphFont"/>
    <w:link w:val="FootnoteText"/>
    <w:uiPriority w:val="99"/>
    <w:rsid w:val="00B426AA"/>
    <w:rPr>
      <w:rFonts w:ascii="Trebuchet MS" w:hAnsi="Trebuchet MS" w:cs="Trebuchet MS"/>
      <w:lang w:val="en-US" w:eastAsia="en-US"/>
    </w:rPr>
  </w:style>
  <w:style w:type="character" w:styleId="FootnoteReference">
    <w:name w:val="footnote reference"/>
    <w:aliases w:val="Footnote,Footnote symbol,Fussnota,ftref,Nota,(NECG) Footnote Reference,fr,Ref,de nota al pie,Footnotes refss,SUPERS,-E Fußnotenzeichen,number,Footnote reference number,note TESI,fußzeile !!!,FC,o,-E Fuﬂnotenzeichen,Char1,16 Point"/>
    <w:basedOn w:val="DefaultParagraphFont"/>
    <w:link w:val="ftrefCaracterCaracterCaracter"/>
    <w:uiPriority w:val="99"/>
    <w:unhideWhenUsed/>
    <w:qFormat/>
    <w:rsid w:val="00B426AA"/>
    <w:rPr>
      <w:vertAlign w:val="superscript"/>
    </w:rPr>
  </w:style>
  <w:style w:type="character" w:customStyle="1" w:styleId="Bodytext2Italic">
    <w:name w:val="Body text (2) + Italic"/>
    <w:basedOn w:val="DefaultParagraphFont"/>
    <w:rsid w:val="00CB1910"/>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sden">
    <w:name w:val="s_den"/>
    <w:basedOn w:val="DefaultParagraphFont"/>
    <w:rsid w:val="00CB1910"/>
  </w:style>
  <w:style w:type="character" w:customStyle="1" w:styleId="shdr">
    <w:name w:val="s_hdr"/>
    <w:basedOn w:val="DefaultParagraphFont"/>
    <w:rsid w:val="00CB1910"/>
  </w:style>
  <w:style w:type="character" w:customStyle="1" w:styleId="Bodytext2">
    <w:name w:val="Body text (2)_"/>
    <w:basedOn w:val="DefaultParagraphFont"/>
    <w:link w:val="Bodytext20"/>
    <w:rsid w:val="00CB1910"/>
    <w:rPr>
      <w:rFonts w:ascii="Times New Roman" w:eastAsia="Times New Roman" w:hAnsi="Times New Roman"/>
      <w:sz w:val="22"/>
      <w:szCs w:val="22"/>
      <w:shd w:val="clear" w:color="auto" w:fill="FFFFFF"/>
    </w:rPr>
  </w:style>
  <w:style w:type="paragraph" w:customStyle="1" w:styleId="Bodytext20">
    <w:name w:val="Body text (2)"/>
    <w:basedOn w:val="Normal"/>
    <w:link w:val="Bodytext2"/>
    <w:rsid w:val="00CB1910"/>
    <w:pPr>
      <w:widowControl w:val="0"/>
      <w:shd w:val="clear" w:color="auto" w:fill="FFFFFF"/>
      <w:spacing w:after="300" w:line="0" w:lineRule="atLeast"/>
      <w:ind w:left="0" w:hanging="540"/>
    </w:pPr>
    <w:rPr>
      <w:rFonts w:ascii="Times New Roman" w:eastAsia="Times New Roman" w:hAnsi="Times New Roman" w:cs="Times New Roman"/>
      <w:lang w:val="ro-RO" w:eastAsia="ro-RO"/>
    </w:rPr>
  </w:style>
  <w:style w:type="paragraph" w:styleId="BodyText21">
    <w:name w:val="Body Text 2"/>
    <w:basedOn w:val="Normal"/>
    <w:link w:val="BodyText2Char"/>
    <w:uiPriority w:val="99"/>
    <w:unhideWhenUsed/>
    <w:rsid w:val="00AA6D60"/>
    <w:pPr>
      <w:spacing w:after="0" w:line="300" w:lineRule="auto"/>
      <w:ind w:left="0"/>
      <w:jc w:val="left"/>
    </w:pPr>
    <w:rPr>
      <w:rFonts w:ascii="Neo Sans Std Light" w:eastAsiaTheme="minorHAnsi" w:hAnsi="Neo Sans Std Light" w:cstheme="minorHAnsi"/>
      <w:bCs/>
      <w:i/>
      <w:sz w:val="20"/>
      <w:szCs w:val="20"/>
      <w:lang w:val="it-IT"/>
    </w:rPr>
  </w:style>
  <w:style w:type="character" w:customStyle="1" w:styleId="BodyText2Char">
    <w:name w:val="Body Text 2 Char"/>
    <w:basedOn w:val="DefaultParagraphFont"/>
    <w:link w:val="BodyText21"/>
    <w:uiPriority w:val="99"/>
    <w:rsid w:val="00AA6D60"/>
    <w:rPr>
      <w:rFonts w:ascii="Neo Sans Std Light" w:eastAsiaTheme="minorHAnsi" w:hAnsi="Neo Sans Std Light" w:cstheme="minorHAnsi"/>
      <w:bCs/>
      <w:i/>
      <w:lang w:val="it-IT" w:eastAsia="en-US"/>
    </w:rPr>
  </w:style>
  <w:style w:type="character" w:customStyle="1" w:styleId="slinbdy">
    <w:name w:val="s_lin_bdy"/>
    <w:basedOn w:val="DefaultParagraphFont"/>
    <w:rsid w:val="007D07FC"/>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7D07FC"/>
    <w:pPr>
      <w:spacing w:before="120" w:after="160" w:line="240" w:lineRule="exact"/>
      <w:ind w:left="0"/>
      <w:jc w:val="left"/>
    </w:pPr>
    <w:rPr>
      <w:rFonts w:ascii="Cambria" w:hAnsi="Cambria" w:cs="Times New Roman"/>
      <w:sz w:val="20"/>
      <w:szCs w:val="20"/>
      <w:vertAlign w:val="superscript"/>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016">
      <w:bodyDiv w:val="1"/>
      <w:marLeft w:val="0"/>
      <w:marRight w:val="0"/>
      <w:marTop w:val="0"/>
      <w:marBottom w:val="0"/>
      <w:divBdr>
        <w:top w:val="none" w:sz="0" w:space="0" w:color="auto"/>
        <w:left w:val="none" w:sz="0" w:space="0" w:color="auto"/>
        <w:bottom w:val="none" w:sz="0" w:space="0" w:color="auto"/>
        <w:right w:val="none" w:sz="0" w:space="0" w:color="auto"/>
      </w:divBdr>
    </w:div>
    <w:div w:id="483156704">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829636453">
      <w:bodyDiv w:val="1"/>
      <w:marLeft w:val="0"/>
      <w:marRight w:val="0"/>
      <w:marTop w:val="0"/>
      <w:marBottom w:val="0"/>
      <w:divBdr>
        <w:top w:val="none" w:sz="0" w:space="0" w:color="auto"/>
        <w:left w:val="none" w:sz="0" w:space="0" w:color="auto"/>
        <w:bottom w:val="none" w:sz="0" w:space="0" w:color="auto"/>
        <w:right w:val="none" w:sz="0" w:space="0" w:color="auto"/>
      </w:divBdr>
      <w:divsChild>
        <w:div w:id="1138373849">
          <w:marLeft w:val="0"/>
          <w:marRight w:val="0"/>
          <w:marTop w:val="0"/>
          <w:marBottom w:val="0"/>
          <w:divBdr>
            <w:top w:val="none" w:sz="0" w:space="0" w:color="auto"/>
            <w:left w:val="none" w:sz="0" w:space="0" w:color="auto"/>
            <w:bottom w:val="none" w:sz="0" w:space="0" w:color="auto"/>
            <w:right w:val="none" w:sz="0" w:space="0" w:color="auto"/>
          </w:divBdr>
        </w:div>
        <w:div w:id="107553619">
          <w:marLeft w:val="0"/>
          <w:marRight w:val="0"/>
          <w:marTop w:val="0"/>
          <w:marBottom w:val="0"/>
          <w:divBdr>
            <w:top w:val="none" w:sz="0" w:space="0" w:color="auto"/>
            <w:left w:val="none" w:sz="0" w:space="0" w:color="auto"/>
            <w:bottom w:val="none" w:sz="0" w:space="0" w:color="auto"/>
            <w:right w:val="none" w:sz="0" w:space="0" w:color="auto"/>
          </w:divBdr>
        </w:div>
        <w:div w:id="1054962208">
          <w:marLeft w:val="0"/>
          <w:marRight w:val="0"/>
          <w:marTop w:val="0"/>
          <w:marBottom w:val="0"/>
          <w:divBdr>
            <w:top w:val="none" w:sz="0" w:space="0" w:color="auto"/>
            <w:left w:val="none" w:sz="0" w:space="0" w:color="auto"/>
            <w:bottom w:val="none" w:sz="0" w:space="0" w:color="auto"/>
            <w:right w:val="none" w:sz="0" w:space="0" w:color="auto"/>
          </w:divBdr>
        </w:div>
        <w:div w:id="1623729875">
          <w:marLeft w:val="0"/>
          <w:marRight w:val="0"/>
          <w:marTop w:val="0"/>
          <w:marBottom w:val="0"/>
          <w:divBdr>
            <w:top w:val="none" w:sz="0" w:space="0" w:color="auto"/>
            <w:left w:val="none" w:sz="0" w:space="0" w:color="auto"/>
            <w:bottom w:val="none" w:sz="0" w:space="0" w:color="auto"/>
            <w:right w:val="none" w:sz="0" w:space="0" w:color="auto"/>
          </w:divBdr>
        </w:div>
        <w:div w:id="70930242">
          <w:marLeft w:val="0"/>
          <w:marRight w:val="0"/>
          <w:marTop w:val="0"/>
          <w:marBottom w:val="0"/>
          <w:divBdr>
            <w:top w:val="none" w:sz="0" w:space="0" w:color="auto"/>
            <w:left w:val="none" w:sz="0" w:space="0" w:color="auto"/>
            <w:bottom w:val="none" w:sz="0" w:space="0" w:color="auto"/>
            <w:right w:val="none" w:sz="0" w:space="0" w:color="auto"/>
          </w:divBdr>
        </w:div>
        <w:div w:id="641541781">
          <w:marLeft w:val="0"/>
          <w:marRight w:val="0"/>
          <w:marTop w:val="0"/>
          <w:marBottom w:val="0"/>
          <w:divBdr>
            <w:top w:val="none" w:sz="0" w:space="0" w:color="auto"/>
            <w:left w:val="none" w:sz="0" w:space="0" w:color="auto"/>
            <w:bottom w:val="none" w:sz="0" w:space="0" w:color="auto"/>
            <w:right w:val="none" w:sz="0" w:space="0" w:color="auto"/>
          </w:divBdr>
        </w:div>
      </w:divsChild>
    </w:div>
    <w:div w:id="860168631">
      <w:bodyDiv w:val="1"/>
      <w:marLeft w:val="0"/>
      <w:marRight w:val="0"/>
      <w:marTop w:val="0"/>
      <w:marBottom w:val="0"/>
      <w:divBdr>
        <w:top w:val="none" w:sz="0" w:space="0" w:color="auto"/>
        <w:left w:val="none" w:sz="0" w:space="0" w:color="auto"/>
        <w:bottom w:val="none" w:sz="0" w:space="0" w:color="auto"/>
        <w:right w:val="none" w:sz="0" w:space="0" w:color="auto"/>
      </w:divBdr>
      <w:divsChild>
        <w:div w:id="1866483033">
          <w:marLeft w:val="0"/>
          <w:marRight w:val="0"/>
          <w:marTop w:val="0"/>
          <w:marBottom w:val="0"/>
          <w:divBdr>
            <w:top w:val="none" w:sz="0" w:space="0" w:color="auto"/>
            <w:left w:val="none" w:sz="0" w:space="0" w:color="auto"/>
            <w:bottom w:val="none" w:sz="0" w:space="0" w:color="auto"/>
            <w:right w:val="none" w:sz="0" w:space="0" w:color="auto"/>
          </w:divBdr>
        </w:div>
        <w:div w:id="33846932">
          <w:marLeft w:val="0"/>
          <w:marRight w:val="0"/>
          <w:marTop w:val="0"/>
          <w:marBottom w:val="0"/>
          <w:divBdr>
            <w:top w:val="none" w:sz="0" w:space="0" w:color="auto"/>
            <w:left w:val="none" w:sz="0" w:space="0" w:color="auto"/>
            <w:bottom w:val="none" w:sz="0" w:space="0" w:color="auto"/>
            <w:right w:val="none" w:sz="0" w:space="0" w:color="auto"/>
          </w:divBdr>
        </w:div>
        <w:div w:id="646788387">
          <w:marLeft w:val="0"/>
          <w:marRight w:val="0"/>
          <w:marTop w:val="0"/>
          <w:marBottom w:val="0"/>
          <w:divBdr>
            <w:top w:val="none" w:sz="0" w:space="0" w:color="auto"/>
            <w:left w:val="none" w:sz="0" w:space="0" w:color="auto"/>
            <w:bottom w:val="none" w:sz="0" w:space="0" w:color="auto"/>
            <w:right w:val="none" w:sz="0" w:space="0" w:color="auto"/>
          </w:divBdr>
        </w:div>
        <w:div w:id="701250552">
          <w:marLeft w:val="0"/>
          <w:marRight w:val="0"/>
          <w:marTop w:val="0"/>
          <w:marBottom w:val="0"/>
          <w:divBdr>
            <w:top w:val="none" w:sz="0" w:space="0" w:color="auto"/>
            <w:left w:val="none" w:sz="0" w:space="0" w:color="auto"/>
            <w:bottom w:val="none" w:sz="0" w:space="0" w:color="auto"/>
            <w:right w:val="none" w:sz="0" w:space="0" w:color="auto"/>
          </w:divBdr>
        </w:div>
        <w:div w:id="1020817762">
          <w:marLeft w:val="0"/>
          <w:marRight w:val="0"/>
          <w:marTop w:val="0"/>
          <w:marBottom w:val="0"/>
          <w:divBdr>
            <w:top w:val="none" w:sz="0" w:space="0" w:color="auto"/>
            <w:left w:val="none" w:sz="0" w:space="0" w:color="auto"/>
            <w:bottom w:val="none" w:sz="0" w:space="0" w:color="auto"/>
            <w:right w:val="none" w:sz="0" w:space="0" w:color="auto"/>
          </w:divBdr>
        </w:div>
        <w:div w:id="1935700372">
          <w:marLeft w:val="0"/>
          <w:marRight w:val="0"/>
          <w:marTop w:val="0"/>
          <w:marBottom w:val="0"/>
          <w:divBdr>
            <w:top w:val="none" w:sz="0" w:space="0" w:color="auto"/>
            <w:left w:val="none" w:sz="0" w:space="0" w:color="auto"/>
            <w:bottom w:val="none" w:sz="0" w:space="0" w:color="auto"/>
            <w:right w:val="none" w:sz="0" w:space="0" w:color="auto"/>
          </w:divBdr>
        </w:div>
      </w:divsChild>
    </w:div>
    <w:div w:id="899638252">
      <w:bodyDiv w:val="1"/>
      <w:marLeft w:val="0"/>
      <w:marRight w:val="0"/>
      <w:marTop w:val="0"/>
      <w:marBottom w:val="0"/>
      <w:divBdr>
        <w:top w:val="none" w:sz="0" w:space="0" w:color="auto"/>
        <w:left w:val="none" w:sz="0" w:space="0" w:color="auto"/>
        <w:bottom w:val="none" w:sz="0" w:space="0" w:color="auto"/>
        <w:right w:val="none" w:sz="0" w:space="0" w:color="auto"/>
      </w:divBdr>
      <w:divsChild>
        <w:div w:id="1296717027">
          <w:marLeft w:val="0"/>
          <w:marRight w:val="0"/>
          <w:marTop w:val="0"/>
          <w:marBottom w:val="0"/>
          <w:divBdr>
            <w:top w:val="none" w:sz="0" w:space="0" w:color="auto"/>
            <w:left w:val="none" w:sz="0" w:space="0" w:color="auto"/>
            <w:bottom w:val="none" w:sz="0" w:space="0" w:color="auto"/>
            <w:right w:val="none" w:sz="0" w:space="0" w:color="auto"/>
          </w:divBdr>
          <w:divsChild>
            <w:div w:id="1116020416">
              <w:marLeft w:val="0"/>
              <w:marRight w:val="0"/>
              <w:marTop w:val="0"/>
              <w:marBottom w:val="0"/>
              <w:divBdr>
                <w:top w:val="none" w:sz="0" w:space="0" w:color="auto"/>
                <w:left w:val="none" w:sz="0" w:space="0" w:color="auto"/>
                <w:bottom w:val="none" w:sz="0" w:space="0" w:color="auto"/>
                <w:right w:val="none" w:sz="0" w:space="0" w:color="auto"/>
              </w:divBdr>
              <w:divsChild>
                <w:div w:id="1615211064">
                  <w:marLeft w:val="0"/>
                  <w:marRight w:val="0"/>
                  <w:marTop w:val="0"/>
                  <w:marBottom w:val="0"/>
                  <w:divBdr>
                    <w:top w:val="none" w:sz="0" w:space="0" w:color="auto"/>
                    <w:left w:val="none" w:sz="0" w:space="0" w:color="auto"/>
                    <w:bottom w:val="none" w:sz="0" w:space="0" w:color="auto"/>
                    <w:right w:val="none" w:sz="0" w:space="0" w:color="auto"/>
                  </w:divBdr>
                  <w:divsChild>
                    <w:div w:id="126431471">
                      <w:marLeft w:val="0"/>
                      <w:marRight w:val="0"/>
                      <w:marTop w:val="0"/>
                      <w:marBottom w:val="0"/>
                      <w:divBdr>
                        <w:top w:val="none" w:sz="0" w:space="0" w:color="auto"/>
                        <w:left w:val="none" w:sz="0" w:space="0" w:color="auto"/>
                        <w:bottom w:val="none" w:sz="0" w:space="0" w:color="auto"/>
                        <w:right w:val="none" w:sz="0" w:space="0" w:color="auto"/>
                      </w:divBdr>
                      <w:divsChild>
                        <w:div w:id="423304838">
                          <w:marLeft w:val="0"/>
                          <w:marRight w:val="0"/>
                          <w:marTop w:val="0"/>
                          <w:marBottom w:val="0"/>
                          <w:divBdr>
                            <w:top w:val="none" w:sz="0" w:space="0" w:color="auto"/>
                            <w:left w:val="none" w:sz="0" w:space="0" w:color="auto"/>
                            <w:bottom w:val="none" w:sz="0" w:space="0" w:color="auto"/>
                            <w:right w:val="none" w:sz="0" w:space="0" w:color="auto"/>
                          </w:divBdr>
                          <w:divsChild>
                            <w:div w:id="45029034">
                              <w:marLeft w:val="0"/>
                              <w:marRight w:val="0"/>
                              <w:marTop w:val="0"/>
                              <w:marBottom w:val="0"/>
                              <w:divBdr>
                                <w:top w:val="none" w:sz="0" w:space="0" w:color="auto"/>
                                <w:left w:val="none" w:sz="0" w:space="0" w:color="auto"/>
                                <w:bottom w:val="none" w:sz="0" w:space="0" w:color="auto"/>
                                <w:right w:val="none" w:sz="0" w:space="0" w:color="auto"/>
                              </w:divBdr>
                              <w:divsChild>
                                <w:div w:id="1225334219">
                                  <w:marLeft w:val="0"/>
                                  <w:marRight w:val="0"/>
                                  <w:marTop w:val="0"/>
                                  <w:marBottom w:val="0"/>
                                  <w:divBdr>
                                    <w:top w:val="none" w:sz="0" w:space="0" w:color="auto"/>
                                    <w:left w:val="none" w:sz="0" w:space="0" w:color="auto"/>
                                    <w:bottom w:val="none" w:sz="0" w:space="0" w:color="auto"/>
                                    <w:right w:val="none" w:sz="0" w:space="0" w:color="auto"/>
                                  </w:divBdr>
                                  <w:divsChild>
                                    <w:div w:id="2143766778">
                                      <w:marLeft w:val="0"/>
                                      <w:marRight w:val="0"/>
                                      <w:marTop w:val="0"/>
                                      <w:marBottom w:val="0"/>
                                      <w:divBdr>
                                        <w:top w:val="none" w:sz="0" w:space="0" w:color="auto"/>
                                        <w:left w:val="none" w:sz="0" w:space="0" w:color="auto"/>
                                        <w:bottom w:val="none" w:sz="0" w:space="0" w:color="auto"/>
                                        <w:right w:val="none" w:sz="0" w:space="0" w:color="auto"/>
                                      </w:divBdr>
                                      <w:divsChild>
                                        <w:div w:id="1682780911">
                                          <w:marLeft w:val="0"/>
                                          <w:marRight w:val="0"/>
                                          <w:marTop w:val="0"/>
                                          <w:marBottom w:val="0"/>
                                          <w:divBdr>
                                            <w:top w:val="none" w:sz="0" w:space="0" w:color="auto"/>
                                            <w:left w:val="none" w:sz="0" w:space="0" w:color="auto"/>
                                            <w:bottom w:val="none" w:sz="0" w:space="0" w:color="auto"/>
                                            <w:right w:val="none" w:sz="0" w:space="0" w:color="auto"/>
                                          </w:divBdr>
                                          <w:divsChild>
                                            <w:div w:id="368072179">
                                              <w:marLeft w:val="0"/>
                                              <w:marRight w:val="0"/>
                                              <w:marTop w:val="0"/>
                                              <w:marBottom w:val="0"/>
                                              <w:divBdr>
                                                <w:top w:val="none" w:sz="0" w:space="0" w:color="auto"/>
                                                <w:left w:val="none" w:sz="0" w:space="0" w:color="auto"/>
                                                <w:bottom w:val="none" w:sz="0" w:space="0" w:color="auto"/>
                                                <w:right w:val="none" w:sz="0" w:space="0" w:color="auto"/>
                                              </w:divBdr>
                                              <w:divsChild>
                                                <w:div w:id="945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65423">
      <w:bodyDiv w:val="1"/>
      <w:marLeft w:val="0"/>
      <w:marRight w:val="0"/>
      <w:marTop w:val="0"/>
      <w:marBottom w:val="0"/>
      <w:divBdr>
        <w:top w:val="none" w:sz="0" w:space="0" w:color="auto"/>
        <w:left w:val="none" w:sz="0" w:space="0" w:color="auto"/>
        <w:bottom w:val="none" w:sz="0" w:space="0" w:color="auto"/>
        <w:right w:val="none" w:sz="0" w:space="0" w:color="auto"/>
      </w:divBdr>
    </w:div>
    <w:div w:id="1227492714">
      <w:bodyDiv w:val="1"/>
      <w:marLeft w:val="0"/>
      <w:marRight w:val="0"/>
      <w:marTop w:val="0"/>
      <w:marBottom w:val="0"/>
      <w:divBdr>
        <w:top w:val="none" w:sz="0" w:space="0" w:color="auto"/>
        <w:left w:val="none" w:sz="0" w:space="0" w:color="auto"/>
        <w:bottom w:val="none" w:sz="0" w:space="0" w:color="auto"/>
        <w:right w:val="none" w:sz="0" w:space="0" w:color="auto"/>
      </w:divBdr>
    </w:div>
    <w:div w:id="1260793229">
      <w:bodyDiv w:val="1"/>
      <w:marLeft w:val="0"/>
      <w:marRight w:val="0"/>
      <w:marTop w:val="0"/>
      <w:marBottom w:val="0"/>
      <w:divBdr>
        <w:top w:val="none" w:sz="0" w:space="0" w:color="auto"/>
        <w:left w:val="none" w:sz="0" w:space="0" w:color="auto"/>
        <w:bottom w:val="none" w:sz="0" w:space="0" w:color="auto"/>
        <w:right w:val="none" w:sz="0" w:space="0" w:color="auto"/>
      </w:divBdr>
    </w:div>
    <w:div w:id="1323001099">
      <w:bodyDiv w:val="1"/>
      <w:marLeft w:val="0"/>
      <w:marRight w:val="0"/>
      <w:marTop w:val="0"/>
      <w:marBottom w:val="0"/>
      <w:divBdr>
        <w:top w:val="none" w:sz="0" w:space="0" w:color="auto"/>
        <w:left w:val="none" w:sz="0" w:space="0" w:color="auto"/>
        <w:bottom w:val="none" w:sz="0" w:space="0" w:color="auto"/>
        <w:right w:val="none" w:sz="0" w:space="0" w:color="auto"/>
      </w:divBdr>
    </w:div>
    <w:div w:id="1614702063">
      <w:bodyDiv w:val="1"/>
      <w:marLeft w:val="0"/>
      <w:marRight w:val="0"/>
      <w:marTop w:val="0"/>
      <w:marBottom w:val="0"/>
      <w:divBdr>
        <w:top w:val="none" w:sz="0" w:space="0" w:color="auto"/>
        <w:left w:val="none" w:sz="0" w:space="0" w:color="auto"/>
        <w:bottom w:val="none" w:sz="0" w:space="0" w:color="auto"/>
        <w:right w:val="none" w:sz="0" w:space="0" w:color="auto"/>
      </w:divBdr>
    </w:div>
    <w:div w:id="2078042493">
      <w:bodyDiv w:val="1"/>
      <w:marLeft w:val="0"/>
      <w:marRight w:val="0"/>
      <w:marTop w:val="0"/>
      <w:marBottom w:val="0"/>
      <w:divBdr>
        <w:top w:val="none" w:sz="0" w:space="0" w:color="auto"/>
        <w:left w:val="none" w:sz="0" w:space="0" w:color="auto"/>
        <w:bottom w:val="none" w:sz="0" w:space="0" w:color="auto"/>
        <w:right w:val="none" w:sz="0" w:space="0" w:color="auto"/>
      </w:divBdr>
    </w:div>
    <w:div w:id="2095469794">
      <w:bodyDiv w:val="1"/>
      <w:marLeft w:val="0"/>
      <w:marRight w:val="0"/>
      <w:marTop w:val="0"/>
      <w:marBottom w:val="0"/>
      <w:divBdr>
        <w:top w:val="none" w:sz="0" w:space="0" w:color="auto"/>
        <w:left w:val="none" w:sz="0" w:space="0" w:color="auto"/>
        <w:bottom w:val="none" w:sz="0" w:space="0" w:color="auto"/>
        <w:right w:val="none" w:sz="0" w:space="0" w:color="auto"/>
      </w:divBdr>
      <w:divsChild>
        <w:div w:id="1692299919">
          <w:marLeft w:val="0"/>
          <w:marRight w:val="0"/>
          <w:marTop w:val="100"/>
          <w:marBottom w:val="100"/>
          <w:divBdr>
            <w:top w:val="none" w:sz="0" w:space="0" w:color="auto"/>
            <w:left w:val="none" w:sz="0" w:space="0" w:color="auto"/>
            <w:bottom w:val="none" w:sz="0" w:space="0" w:color="auto"/>
            <w:right w:val="none" w:sz="0" w:space="0" w:color="auto"/>
          </w:divBdr>
          <w:divsChild>
            <w:div w:id="1905993293">
              <w:marLeft w:val="3750"/>
              <w:marRight w:val="0"/>
              <w:marTop w:val="0"/>
              <w:marBottom w:val="0"/>
              <w:divBdr>
                <w:top w:val="none" w:sz="0" w:space="0" w:color="auto"/>
                <w:left w:val="none" w:sz="0" w:space="0" w:color="auto"/>
                <w:bottom w:val="none" w:sz="0" w:space="0" w:color="auto"/>
                <w:right w:val="none" w:sz="0" w:space="0" w:color="auto"/>
              </w:divBdr>
            </w:div>
          </w:divsChild>
        </w:div>
        <w:div w:id="211709458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enascc.eu/wp-content/uploads/2020/12/ilovepdf_merged-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6F2B-10C5-419F-B899-C53A9EF4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8532</Words>
  <Characters>49316</Characters>
  <Application>Microsoft Office Word</Application>
  <DocSecurity>0</DocSecurity>
  <Lines>782</Lines>
  <Paragraphs>231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 SOARE</dc:creator>
  <cp:keywords>, docId:D19EBB931E574DA5FE740E2AAA8F157A</cp:keywords>
  <cp:lastModifiedBy>Radu Borcescu</cp:lastModifiedBy>
  <cp:revision>2</cp:revision>
  <cp:lastPrinted>2024-11-21T07:17:00Z</cp:lastPrinted>
  <dcterms:created xsi:type="dcterms:W3CDTF">2024-12-09T19:31:00Z</dcterms:created>
  <dcterms:modified xsi:type="dcterms:W3CDTF">2024-12-09T19:31:00Z</dcterms:modified>
</cp:coreProperties>
</file>